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保定白沟新城财政审计局</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保定白沟新城财政审计局编制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pPr/>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1.财政审计-2023年财政信息化建设资金绩效目标表</w:t>
      </w:r>
      <w:r>
        <w:tab/>
      </w:r>
      <w:r>
        <w:fldChar w:fldCharType="begin"/>
      </w:r>
      <w:r>
        <w:instrText xml:space="preserve">PAGEREF _Toc_4_4_0000000004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2.财政审计局-2023年财政业务经费绩效目标表</w:t>
      </w:r>
      <w:r>
        <w:tab/>
      </w:r>
      <w:r>
        <w:fldChar w:fldCharType="begin"/>
      </w:r>
      <w:r>
        <w:instrText xml:space="preserve">PAGEREF _Toc_4_4_0000000005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3.财政审计局-2023审计业务经费绩效目标表</w:t>
      </w:r>
      <w:r>
        <w:tab/>
      </w:r>
      <w:r>
        <w:fldChar w:fldCharType="begin"/>
      </w:r>
      <w:r>
        <w:instrText xml:space="preserve">PAGEREF _Toc_4_4_0000000006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4.运转保障-财政审计临时聘用资金绩效目标表</w:t>
      </w:r>
      <w:r>
        <w:tab/>
      </w:r>
      <w:r>
        <w:fldChar w:fldCharType="begin"/>
      </w:r>
      <w:r>
        <w:instrText xml:space="preserve">PAGEREF _Toc_4_4_0000000007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5.财政-关于提前下达2022年省级农村财会人员培训一般转移支付指标绩效目标表</w:t>
      </w:r>
      <w:r>
        <w:tab/>
      </w:r>
      <w:r>
        <w:fldChar w:fldCharType="begin"/>
      </w:r>
      <w:r>
        <w:instrText xml:space="preserve">PAGEREF _Toc_4_4_0000000008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6.财政审计-关于提前下达2021年省级农村财会人员一般转移支付指标的通知（保财农【2020】107号）绩效目标表</w:t>
      </w:r>
      <w:r>
        <w:tab/>
      </w:r>
      <w:r>
        <w:fldChar w:fldCharType="begin"/>
      </w:r>
      <w:r>
        <w:instrText xml:space="preserve">PAGEREF _Toc_4_4_0000000009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7.财政审计-聘请第三方参与绩效管理资金绩效目标表</w:t>
      </w:r>
      <w:r>
        <w:tab/>
      </w:r>
      <w:r>
        <w:fldChar w:fldCharType="begin"/>
      </w:r>
      <w:r>
        <w:instrText xml:space="preserve">PAGEREF _Toc_4_4_0000000010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8.财政审计-提前下达2023年省级农村财会人员资金（保财农[2022]84号）绩效目标表</w:t>
      </w:r>
      <w:r>
        <w:tab/>
      </w:r>
      <w:r>
        <w:fldChar w:fldCharType="begin"/>
      </w:r>
      <w:r>
        <w:instrText xml:space="preserve">PAGEREF _Toc_4_4_0000000011 \h</w:instrText>
      </w:r>
      <w:r>
        <w:fldChar w:fldCharType="separate"/>
      </w:r>
      <w:r>
        <w:t>15</w:t>
      </w:r>
      <w:r>
        <w:fldChar w:fldCharType="end"/>
      </w:r>
      <w:r>
        <w:fldChar w:fldCharType="end"/>
      </w:r>
    </w:p>
    <w:p>
      <w:pP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ind w:left="0" w:leftChars="0" w:firstLine="0" w:firstLineChars="0"/>
      </w:pPr>
    </w:p>
    <w:p>
      <w:pPr>
        <w:pStyle w:val="7"/>
      </w:pPr>
      <w:r>
        <w:t>按照《预算法》《地方预决算公开操作规程》等文件规定现将白沟新城财政审计局2023年部门预算公开如下：</w:t>
      </w:r>
    </w:p>
    <w:p>
      <w:pPr>
        <w:pStyle w:val="7"/>
      </w:pPr>
      <w:r>
        <w:t xml:space="preserve">1、贯彻执行国家财政、税收方面的各项法律、法规方针政策；在国家授权的范围内制定有关财政、财务、会计方面的制度和规定；代表区政府会同有关部门处理涉及财政、税收、债务的涉外事务。                                                      </w:t>
      </w:r>
    </w:p>
    <w:p>
      <w:pPr>
        <w:pStyle w:val="7"/>
      </w:pPr>
      <w:r>
        <w:t>2、制定全区财政发展战略和中、长期财政计划、制定年度财政预算草案，执行市人大批准的财政预算，监督乡镇预算的执行，审编年度预算，对社会财力进行综合平衡。</w:t>
      </w:r>
    </w:p>
    <w:p>
      <w:pPr>
        <w:pStyle w:val="7"/>
      </w:pPr>
      <w:r>
        <w:t>3、参与宏观经济的决策和管理，参与基建投资、物价、贸易、科技、教育、住房、社会保障等方面的改革；会同有关部门制定职工待业保险金和职工退休养老金的财务制度，并加强资金使用的宏观管理和监督；运用财政、税收、补贴等经济杠杆，对国民经济运行和国民收入分配进行调控。</w:t>
      </w:r>
    </w:p>
    <w:p>
      <w:pPr>
        <w:pStyle w:val="7"/>
      </w:pPr>
      <w:r>
        <w:t>4、制定全区地方税收计划，经批准后组织实施。</w:t>
      </w:r>
    </w:p>
    <w:p>
      <w:pPr>
        <w:pStyle w:val="7"/>
      </w:pPr>
      <w:r>
        <w:t>5、组织和管理全区各项财政收入，分解落实并考核各部门收入任务；负责全区行政事业性收费，基金，罚没收入的统一征收管理；协调税务及银行关系，保证各项收入及时足额入库，确保完成全年财政收入任务。</w:t>
      </w:r>
    </w:p>
    <w:p>
      <w:pPr>
        <w:pStyle w:val="7"/>
      </w:pPr>
      <w:r>
        <w:t>6、管理全区基本建设拨款，办理和监督由国家财政承担的全区经济贸易、农业支出、行政和公共支出、社会保障支出，制定相应的财务制度。</w:t>
      </w:r>
    </w:p>
    <w:p>
      <w:pPr>
        <w:pStyle w:val="7"/>
      </w:pPr>
      <w:r>
        <w:t>7、监督企业贯彻《企业财务通则》和分行业财务制度，制定符合本区实际的财政财务政策，帮助企业提高财务管理水平和经济效益。</w:t>
      </w:r>
    </w:p>
    <w:p>
      <w:pPr>
        <w:pStyle w:val="7"/>
      </w:pPr>
      <w:r>
        <w:t>8、管理和指导全区会计工作，保证会计人员依法行使职权，查处会计人员 违反财经纪律的行为；贯彻国家、省和保定市的各种会计工作法规，并制定本区会计工作的各项制度。监督和规范会计行为，监督注册会计师和会计师事务所的业务，根据财政部统一部属，开展会计信息质量检查。贯彻实施国家会计法律、规章、制度和会计准则，并对执行情况进行监督检查承担全区会计从业人员的日常管理；指导全区会计人员的继续教育工作组织执行行政性经费的财务管理制度，以及事业单位通用的财务管理制度组织执行行政性经费的财务管理制度。</w:t>
      </w:r>
    </w:p>
    <w:p>
      <w:pPr>
        <w:pStyle w:val="7"/>
      </w:pPr>
      <w:r>
        <w:t>9、监督乡镇财政收支和各部门的财务活动，检查财政税收政策，法令和财务会计制度的执行情况，对违反财经纪律的事项进行检查和处理。</w:t>
      </w:r>
    </w:p>
    <w:p>
      <w:pPr>
        <w:pStyle w:val="7"/>
      </w:pPr>
      <w:r>
        <w:t>10、加强国有资产管理，确保各行政、事业单位的国有资产不断保值。</w:t>
      </w:r>
    </w:p>
    <w:p>
      <w:pPr>
        <w:pStyle w:val="7"/>
      </w:pPr>
      <w:r>
        <w:t>11、加强政府采购管理工作，制定政府采购支出政策、法规和各项制度，逐步扩大采购规模、采购范围，提高财政资金使用效益。</w:t>
      </w:r>
    </w:p>
    <w:p>
      <w:pPr>
        <w:pStyle w:val="7"/>
      </w:pPr>
      <w:r>
        <w:t>12、指导区级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县直行政事业单位资产配置、使用、处置事项进行管理。核定县直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配合财政部完成年度国债发行任务；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pPr>
        <w:pStyle w:val="7"/>
      </w:pPr>
      <w:r>
        <w:t>13、承办管委会交办的其他事项。</w:t>
      </w:r>
    </w:p>
    <w:p>
      <w:pPr>
        <w:pStyle w:val="7"/>
      </w:pPr>
    </w:p>
    <w:p>
      <w:pPr>
        <w:pStyle w:val="7"/>
      </w:pP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p>
    <w:p>
      <w:pPr>
        <w:pStyle w:val="8"/>
      </w:pPr>
      <w:r>
        <w:t>（1） 全力以赴抓收入。</w:t>
      </w:r>
    </w:p>
    <w:p>
      <w:pPr>
        <w:pStyle w:val="8"/>
      </w:pPr>
      <w:r>
        <w:t>绩效目标：严格落实收入目标责任制，将全年任务及时分解落实到各征管部门，加强督导协调调度，及时解决收入征管中存在的困难和问题。通过指导全区财政运行管理相关工作，按期保质保量完成本区保民生保运转和工程项目建设任务，进一步改善本区生活质量。</w:t>
      </w:r>
    </w:p>
    <w:p>
      <w:pPr>
        <w:pStyle w:val="8"/>
      </w:pPr>
      <w:r>
        <w:t>绩效指标：针对我区税源状态；完善财政收入组织，协调、征管和考核机制，加大对重点税源，重点行业的征管力度，对零散税源进行全面清理，严防"跑冒滴漏"，确保完成全年收入任务。</w:t>
      </w:r>
    </w:p>
    <w:p>
      <w:pPr>
        <w:pStyle w:val="8"/>
      </w:pPr>
      <w:r>
        <w:t>按期完成水利水电项目建设和维修管护任务，完成投资比例，工程通过验收合格，水利工程良性运行，对社会稳定和经济发展起到积极作用。</w:t>
      </w:r>
    </w:p>
    <w:p>
      <w:pPr>
        <w:pStyle w:val="8"/>
      </w:pPr>
      <w:r>
        <w:t>（2）增收节支保重点，严格预算管理，强化预算约束，严格预算调整和追加，做到无预算不支出，有预算不突破。</w:t>
      </w:r>
    </w:p>
    <w:p>
      <w:pPr>
        <w:pStyle w:val="8"/>
      </w:pPr>
      <w:r>
        <w:t>绩效目标：强化支出管理，大力控制压缩一般性支出和“三公经费”支出，改革优化资金拨付程序，加大支出进度，提高财政保障能力和水平，着力完善目标体系。</w:t>
      </w:r>
    </w:p>
    <w:p>
      <w:pPr>
        <w:pStyle w:val="8"/>
      </w:pPr>
      <w:r>
        <w:t>绩效指标：确保人员工资按时足额发放，增资提标政策及时兑现，预算单位正常运转和重大决策部署的全面落实。对社会稳定和经济发展起到积极作用。</w:t>
      </w:r>
    </w:p>
    <w:p>
      <w:pPr>
        <w:pStyle w:val="8"/>
        <w:ind w:left="0" w:leftChars="0" w:firstLine="0" w:firstLineChars="0"/>
      </w:pPr>
      <w:r>
        <w:rPr>
          <w:rFonts w:hint="eastAsia"/>
          <w:lang w:val="en-US" w:eastAsia="zh-CN"/>
        </w:rPr>
        <w:t xml:space="preserve">    </w:t>
      </w:r>
      <w:r>
        <w:t>（3） 争取资金求突破。</w:t>
      </w:r>
    </w:p>
    <w:p>
      <w:pPr>
        <w:pStyle w:val="8"/>
      </w:pPr>
      <w:r>
        <w:t>绩效目标：认真解读各项财政政策，积极寻求上级部门支持，充分发挥财政职能。</w:t>
      </w:r>
    </w:p>
    <w:p>
      <w:pPr>
        <w:pStyle w:val="8"/>
      </w:pPr>
      <w:r>
        <w:t>绩效指标：进一步加强与上级部门的联系沟通，完善项目资金申报管理，争取更多的项目资金支持。</w:t>
      </w:r>
    </w:p>
    <w:p>
      <w:pPr>
        <w:pStyle w:val="8"/>
      </w:pPr>
    </w:p>
    <w:p>
      <w:pPr>
        <w:pStyle w:val="8"/>
      </w:pPr>
      <w:r>
        <w:t>（4）全面加强财政预算管理。</w:t>
      </w:r>
    </w:p>
    <w:p>
      <w:pPr>
        <w:pStyle w:val="8"/>
      </w:pPr>
      <w:r>
        <w:t>绩效目标：一是认真落实河北省财政厅县级业务流程的各项要求，制定切实可行的实施办法，开展财政财务人员培训，提高全区财政财务管理水平。二是全面推行绩效预算改革。</w:t>
      </w:r>
    </w:p>
    <w:p>
      <w:pPr>
        <w:pStyle w:val="8"/>
      </w:pPr>
      <w:r>
        <w:t>绩效指标：建立“预算编制有目标、预算执行有监控、预算完成有评价，评价结果有应用、绩效缺失有问责”的全过程绩效预算管理新机制，提高财政资金配置效率，确保工作正常运行，综合业务管理工作任务完成率、综合事务管理工作任务完成率均有提高。</w:t>
      </w:r>
    </w:p>
    <w:p>
      <w:pPr>
        <w:pStyle w:val="8"/>
      </w:pPr>
      <w:r>
        <w:t>（5）加强审计事务管理。</w:t>
      </w:r>
    </w:p>
    <w:p>
      <w:pPr>
        <w:pStyle w:val="8"/>
      </w:pPr>
      <w:r>
        <w:t>绩效目标：协调内部审计和国家审计间工作等组织开展信息化建设、教育培训、审计理论研究，抓好新闻宣传和文化建设、政务信息公开，开展审计服务和业务咨询。抓好干部队伍建设，基础设施建设及其他综合事务。</w:t>
      </w:r>
    </w:p>
    <w:p>
      <w:pPr>
        <w:pStyle w:val="8"/>
      </w:pPr>
      <w:r>
        <w:t>绩效指标：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全面推行审计长制，进一步提高审计工作任务完成率。</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ind w:left="0" w:leftChars="0" w:firstLine="0" w:firstLineChars="0"/>
      </w:pPr>
      <w:r>
        <w:rPr>
          <w:rFonts w:hint="eastAsia"/>
          <w:lang w:val="en-US" w:eastAsia="zh-CN"/>
        </w:rPr>
        <w:t xml:space="preserve">       </w:t>
      </w:r>
      <w:r>
        <w:t>2023年，我区财政工作将牢固树立创新、协调、绿色、开放、共享发展理念，紧紧围绕管委会决策部署，积极推进财政改革，优化支出结构，强化绩效导向，精准有效发力，着力促进稳增长、调结构、惠民生、促改革、防风险各项政策落实。</w:t>
      </w:r>
    </w:p>
    <w:p>
      <w:pPr>
        <w:pStyle w:val="9"/>
      </w:pPr>
      <w:r>
        <w:t>第一、促进经济稳定增长，做大财政收入规模</w:t>
      </w:r>
    </w:p>
    <w:p>
      <w:pPr>
        <w:pStyle w:val="9"/>
      </w:pPr>
      <w:r>
        <w:t>1、全面落实减税降费政策</w:t>
      </w:r>
    </w:p>
    <w:p>
      <w:pPr>
        <w:pStyle w:val="9"/>
      </w:pPr>
      <w:r>
        <w:t>2、统筹用好财政政策和资金</w:t>
      </w:r>
    </w:p>
    <w:p>
      <w:pPr>
        <w:pStyle w:val="9"/>
      </w:pPr>
      <w:r>
        <w:t>3、切实强化依法依规征收</w:t>
      </w:r>
    </w:p>
    <w:p>
      <w:pPr>
        <w:pStyle w:val="9"/>
      </w:pPr>
      <w:r>
        <w:t>第二、规范财政基础管理，提高资金使用效益</w:t>
      </w:r>
    </w:p>
    <w:p>
      <w:pPr>
        <w:pStyle w:val="9"/>
      </w:pPr>
      <w:r>
        <w:t>1、统筹整合各类资金</w:t>
      </w:r>
    </w:p>
    <w:p>
      <w:pPr>
        <w:pStyle w:val="9"/>
      </w:pPr>
      <w:r>
        <w:t>2、统筹盘活各项存量</w:t>
      </w:r>
    </w:p>
    <w:p>
      <w:pPr>
        <w:pStyle w:val="9"/>
      </w:pPr>
      <w:r>
        <w:t>3、强化预算执行管理</w:t>
      </w:r>
    </w:p>
    <w:p>
      <w:pPr>
        <w:pStyle w:val="9"/>
      </w:pPr>
      <w:r>
        <w:t>第三、继续优化支出结构，持续改善民生福祉</w:t>
      </w:r>
    </w:p>
    <w:p>
      <w:pPr>
        <w:pStyle w:val="9"/>
      </w:pPr>
      <w:r>
        <w:t>1、落实强农惠农富农政策</w:t>
      </w:r>
    </w:p>
    <w:p>
      <w:pPr>
        <w:pStyle w:val="9"/>
      </w:pPr>
      <w:r>
        <w:t>2、支持优先发展教育事业</w:t>
      </w:r>
    </w:p>
    <w:p>
      <w:pPr>
        <w:pStyle w:val="9"/>
      </w:pPr>
      <w:r>
        <w:t>3、完善社会保障制度</w:t>
      </w:r>
    </w:p>
    <w:p>
      <w:pPr>
        <w:pStyle w:val="9"/>
      </w:pPr>
      <w:r>
        <w:t>第四、加强干部队伍建设，切实防范履职风险。</w:t>
      </w:r>
    </w:p>
    <w:p>
      <w:pPr>
        <w:pStyle w:val="9"/>
      </w:pPr>
    </w:p>
    <w:p>
      <w:pPr>
        <w:pStyle w:val="9"/>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1.财政审计-2023年财政信息化建设资金绩效目标表</w:t>
      </w:r>
      <w:bookmarkEnd w:id="3"/>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13060523P00444910001L</w:t>
            </w:r>
          </w:p>
        </w:tc>
        <w:tc>
          <w:tcPr>
            <w:tcW w:w="1587" w:type="dxa"/>
            <w:vAlign w:val="center"/>
          </w:tcPr>
          <w:p>
            <w:pPr>
              <w:pStyle w:val="13"/>
            </w:pPr>
            <w:r>
              <w:t>项目名称</w:t>
            </w:r>
          </w:p>
        </w:tc>
        <w:tc>
          <w:tcPr>
            <w:tcW w:w="4423" w:type="dxa"/>
            <w:gridSpan w:val="3"/>
            <w:vAlign w:val="center"/>
          </w:tcPr>
          <w:p>
            <w:pPr>
              <w:pStyle w:val="12"/>
            </w:pPr>
            <w:r>
              <w:t>财政审计-2023年财政信息化建设资金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财政信息化建设资金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w:t>
            </w:r>
            <w:r>
              <w:rPr>
                <w:rFonts w:hint="eastAsia"/>
                <w:lang w:eastAsia="zh-CN"/>
              </w:rPr>
              <w:t>：财政信息化建设提高新水平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综合业务工作完成率</w:t>
            </w:r>
          </w:p>
        </w:tc>
        <w:tc>
          <w:tcPr>
            <w:tcW w:w="2891" w:type="dxa"/>
            <w:vAlign w:val="center"/>
          </w:tcPr>
          <w:p>
            <w:pPr>
              <w:pStyle w:val="12"/>
            </w:pPr>
            <w:r>
              <w:t>综合业务工作完成率</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≥98保障工作完成率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≥98及时保障工作完成率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完成工作需要的资金</w:t>
            </w:r>
          </w:p>
        </w:tc>
        <w:tc>
          <w:tcPr>
            <w:tcW w:w="2891" w:type="dxa"/>
            <w:vAlign w:val="center"/>
          </w:tcPr>
          <w:p>
            <w:pPr>
              <w:pStyle w:val="12"/>
            </w:pPr>
            <w:r>
              <w:t>完成工作需要的资金</w:t>
            </w:r>
          </w:p>
        </w:tc>
        <w:tc>
          <w:tcPr>
            <w:tcW w:w="1276" w:type="dxa"/>
            <w:vAlign w:val="center"/>
          </w:tcPr>
          <w:p>
            <w:pPr>
              <w:pStyle w:val="12"/>
            </w:pPr>
            <w:r>
              <w:t>≤50万元</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≥98提高工作效率</w:t>
            </w:r>
          </w:p>
        </w:tc>
        <w:tc>
          <w:tcPr>
            <w:tcW w:w="1843" w:type="dxa"/>
            <w:vAlign w:val="center"/>
          </w:tcPr>
          <w:p>
            <w:pPr>
              <w:pStyle w:val="12"/>
            </w:pPr>
            <w:r>
              <w:t>年度工作度划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≥98保障工作完成率</w:t>
            </w:r>
          </w:p>
        </w:tc>
        <w:tc>
          <w:tcPr>
            <w:tcW w:w="1843" w:type="dxa"/>
            <w:vAlign w:val="center"/>
          </w:tcPr>
          <w:p>
            <w:pPr>
              <w:pStyle w:val="12"/>
            </w:pPr>
            <w:r>
              <w:t>年度工作度划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≥98生态效益指标</w:t>
            </w:r>
          </w:p>
        </w:tc>
        <w:tc>
          <w:tcPr>
            <w:tcW w:w="1843" w:type="dxa"/>
            <w:vAlign w:val="center"/>
          </w:tcPr>
          <w:p>
            <w:pPr>
              <w:pStyle w:val="12"/>
            </w:pPr>
            <w:r>
              <w:t>年度工作度划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≥98保障机关正常办公</w:t>
            </w:r>
          </w:p>
        </w:tc>
        <w:tc>
          <w:tcPr>
            <w:tcW w:w="1843" w:type="dxa"/>
            <w:vAlign w:val="center"/>
          </w:tcPr>
          <w:p>
            <w:pPr>
              <w:pStyle w:val="12"/>
            </w:pPr>
            <w:r>
              <w:t>年度工作度划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年度工作度划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2.财政审计局-2023年财政业务经费绩效目标表</w:t>
      </w:r>
      <w:bookmarkEnd w:id="4"/>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13060523P00444810001Y</w:t>
            </w:r>
          </w:p>
        </w:tc>
        <w:tc>
          <w:tcPr>
            <w:tcW w:w="1587" w:type="dxa"/>
            <w:vAlign w:val="center"/>
          </w:tcPr>
          <w:p>
            <w:pPr>
              <w:pStyle w:val="13"/>
            </w:pPr>
            <w:r>
              <w:t>项目名称</w:t>
            </w:r>
          </w:p>
        </w:tc>
        <w:tc>
          <w:tcPr>
            <w:tcW w:w="4423" w:type="dxa"/>
            <w:gridSpan w:val="3"/>
            <w:vAlign w:val="center"/>
          </w:tcPr>
          <w:p>
            <w:pPr>
              <w:pStyle w:val="12"/>
            </w:pPr>
            <w:r>
              <w:t>财政审计局-2023年财政业务经费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109.70</w:t>
            </w:r>
          </w:p>
        </w:tc>
        <w:tc>
          <w:tcPr>
            <w:tcW w:w="1587" w:type="dxa"/>
            <w:vAlign w:val="center"/>
          </w:tcPr>
          <w:p>
            <w:pPr>
              <w:pStyle w:val="13"/>
            </w:pPr>
            <w:r>
              <w:t>其中：财政    资金</w:t>
            </w:r>
          </w:p>
        </w:tc>
        <w:tc>
          <w:tcPr>
            <w:tcW w:w="1304" w:type="dxa"/>
            <w:vAlign w:val="center"/>
          </w:tcPr>
          <w:p>
            <w:pPr>
              <w:pStyle w:val="12"/>
            </w:pPr>
            <w:r>
              <w:t>109.70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财政业务经费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109.70</w:t>
            </w:r>
          </w:p>
        </w:tc>
        <w:tc>
          <w:tcPr>
            <w:tcW w:w="1304" w:type="dxa"/>
            <w:vAlign w:val="center"/>
          </w:tcPr>
          <w:p>
            <w:pPr>
              <w:pStyle w:val="14"/>
            </w:pPr>
            <w:r>
              <w:t>109.70</w:t>
            </w:r>
          </w:p>
        </w:tc>
        <w:tc>
          <w:tcPr>
            <w:tcW w:w="3119" w:type="dxa"/>
            <w:gridSpan w:val="2"/>
            <w:vAlign w:val="center"/>
          </w:tcPr>
          <w:p>
            <w:pPr>
              <w:pStyle w:val="14"/>
            </w:pPr>
            <w:r>
              <w:t>109.70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w:t>
            </w:r>
            <w:r>
              <w:rPr>
                <w:rFonts w:hint="eastAsia"/>
                <w:lang w:eastAsia="zh-CN"/>
              </w:rPr>
              <w:t>：保障单位工作正常运转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各项交管综合业务管理工作和保障</w:t>
            </w:r>
          </w:p>
        </w:tc>
        <w:tc>
          <w:tcPr>
            <w:tcW w:w="2891" w:type="dxa"/>
            <w:vAlign w:val="center"/>
          </w:tcPr>
          <w:p>
            <w:pPr>
              <w:pStyle w:val="12"/>
            </w:pPr>
            <w:r>
              <w:t>各项交管综合业务管理工作和保障工作完成率%</w:t>
            </w:r>
          </w:p>
        </w:tc>
        <w:tc>
          <w:tcPr>
            <w:tcW w:w="1276" w:type="dxa"/>
            <w:vAlign w:val="center"/>
          </w:tcPr>
          <w:p>
            <w:pPr>
              <w:pStyle w:val="12"/>
            </w:pPr>
            <w:r>
              <w:t>1批</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≥98保障工作开展率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保障综合事务工作完成及时率</w:t>
            </w:r>
          </w:p>
        </w:tc>
        <w:tc>
          <w:tcPr>
            <w:tcW w:w="2891" w:type="dxa"/>
            <w:vAlign w:val="center"/>
          </w:tcPr>
          <w:p>
            <w:pPr>
              <w:pStyle w:val="12"/>
            </w:pPr>
            <w:r>
              <w:t>保障综合事务工作完成及时率</w:t>
            </w:r>
          </w:p>
        </w:tc>
        <w:tc>
          <w:tcPr>
            <w:tcW w:w="1276" w:type="dxa"/>
            <w:vAlign w:val="center"/>
          </w:tcPr>
          <w:p>
            <w:pPr>
              <w:pStyle w:val="12"/>
            </w:pPr>
            <w:r>
              <w:t>≥98保障综合事务工作完成及时率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运行保障成本</w:t>
            </w:r>
          </w:p>
        </w:tc>
        <w:tc>
          <w:tcPr>
            <w:tcW w:w="2891" w:type="dxa"/>
            <w:vAlign w:val="center"/>
          </w:tcPr>
          <w:p>
            <w:pPr>
              <w:pStyle w:val="12"/>
            </w:pPr>
            <w:r>
              <w:t>运行保障成本</w:t>
            </w:r>
          </w:p>
        </w:tc>
        <w:tc>
          <w:tcPr>
            <w:tcW w:w="1276" w:type="dxa"/>
            <w:vAlign w:val="center"/>
          </w:tcPr>
          <w:p>
            <w:pPr>
              <w:pStyle w:val="12"/>
            </w:pPr>
            <w:r>
              <w:t>≤109.7运行保障成本</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≥98提高工作效率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创新工作完成率</w:t>
            </w:r>
          </w:p>
        </w:tc>
        <w:tc>
          <w:tcPr>
            <w:tcW w:w="2891" w:type="dxa"/>
            <w:vAlign w:val="center"/>
          </w:tcPr>
          <w:p>
            <w:pPr>
              <w:pStyle w:val="12"/>
            </w:pPr>
            <w:r>
              <w:t>创新工作完成率</w:t>
            </w:r>
          </w:p>
        </w:tc>
        <w:tc>
          <w:tcPr>
            <w:tcW w:w="1276" w:type="dxa"/>
            <w:vAlign w:val="center"/>
          </w:tcPr>
          <w:p>
            <w:pPr>
              <w:pStyle w:val="12"/>
            </w:pPr>
            <w:r>
              <w:t>≥98创新工作完成率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≥98生态效益增长率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各项工作任务按时完成率</w:t>
            </w:r>
          </w:p>
        </w:tc>
        <w:tc>
          <w:tcPr>
            <w:tcW w:w="2891" w:type="dxa"/>
            <w:vAlign w:val="center"/>
          </w:tcPr>
          <w:p>
            <w:pPr>
              <w:pStyle w:val="12"/>
            </w:pPr>
            <w:r>
              <w:t>各项工作任务按时完成率</w:t>
            </w:r>
          </w:p>
        </w:tc>
        <w:tc>
          <w:tcPr>
            <w:tcW w:w="1276" w:type="dxa"/>
            <w:vAlign w:val="center"/>
          </w:tcPr>
          <w:p>
            <w:pPr>
              <w:pStyle w:val="12"/>
            </w:pPr>
            <w:r>
              <w:t>≥98各项工作任务按时完成率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3.财政审计局-2023审计业务经费绩效目标表</w:t>
      </w:r>
      <w:bookmarkEnd w:id="5"/>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13060523P004466100012</w:t>
            </w:r>
          </w:p>
        </w:tc>
        <w:tc>
          <w:tcPr>
            <w:tcW w:w="1587" w:type="dxa"/>
            <w:vAlign w:val="center"/>
          </w:tcPr>
          <w:p>
            <w:pPr>
              <w:pStyle w:val="13"/>
            </w:pPr>
            <w:r>
              <w:t>项目名称</w:t>
            </w:r>
          </w:p>
        </w:tc>
        <w:tc>
          <w:tcPr>
            <w:tcW w:w="4423" w:type="dxa"/>
            <w:gridSpan w:val="3"/>
            <w:vAlign w:val="center"/>
          </w:tcPr>
          <w:p>
            <w:pPr>
              <w:pStyle w:val="12"/>
            </w:pPr>
            <w:r>
              <w:t>财政审计局-2023审计业务经费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审计业务经费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100.00</w:t>
            </w:r>
          </w:p>
        </w:tc>
        <w:tc>
          <w:tcPr>
            <w:tcW w:w="1587" w:type="dxa"/>
            <w:vAlign w:val="center"/>
          </w:tcPr>
          <w:p>
            <w:pPr>
              <w:pStyle w:val="14"/>
            </w:pPr>
            <w:r>
              <w:t>100.00</w:t>
            </w:r>
          </w:p>
        </w:tc>
        <w:tc>
          <w:tcPr>
            <w:tcW w:w="1304" w:type="dxa"/>
            <w:vAlign w:val="center"/>
          </w:tcPr>
          <w:p>
            <w:pPr>
              <w:pStyle w:val="14"/>
            </w:pPr>
            <w:r>
              <w:t>100.00</w:t>
            </w:r>
          </w:p>
        </w:tc>
        <w:tc>
          <w:tcPr>
            <w:tcW w:w="3119"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w:t>
            </w:r>
            <w:r>
              <w:rPr>
                <w:rFonts w:hint="eastAsia"/>
                <w:lang w:eastAsia="zh-CN"/>
              </w:rPr>
              <w:t>：完成全年任务，发挥审计在促进全区经济社会高质量发展中的作用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完成审计工作</w:t>
            </w:r>
          </w:p>
        </w:tc>
        <w:tc>
          <w:tcPr>
            <w:tcW w:w="2891" w:type="dxa"/>
            <w:vAlign w:val="center"/>
          </w:tcPr>
          <w:p>
            <w:pPr>
              <w:pStyle w:val="12"/>
            </w:pPr>
            <w:r>
              <w:t>完成审计工作</w:t>
            </w:r>
          </w:p>
        </w:tc>
        <w:tc>
          <w:tcPr>
            <w:tcW w:w="1276" w:type="dxa"/>
            <w:vAlign w:val="center"/>
          </w:tcPr>
          <w:p>
            <w:pPr>
              <w:pStyle w:val="12"/>
            </w:pPr>
            <w:r>
              <w:t>1完成审计工作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≥98工作完成率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规定时限内完成工作</w:t>
            </w:r>
          </w:p>
        </w:tc>
        <w:tc>
          <w:tcPr>
            <w:tcW w:w="2891" w:type="dxa"/>
            <w:vAlign w:val="center"/>
          </w:tcPr>
          <w:p>
            <w:pPr>
              <w:pStyle w:val="12"/>
            </w:pPr>
            <w:r>
              <w:t>规定时限内完成工作</w:t>
            </w:r>
          </w:p>
        </w:tc>
        <w:tc>
          <w:tcPr>
            <w:tcW w:w="1276" w:type="dxa"/>
            <w:vAlign w:val="center"/>
          </w:tcPr>
          <w:p>
            <w:pPr>
              <w:pStyle w:val="12"/>
            </w:pPr>
            <w:r>
              <w:t>≥98规定时限内完成工作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运行保障成本</w:t>
            </w:r>
          </w:p>
        </w:tc>
        <w:tc>
          <w:tcPr>
            <w:tcW w:w="2891" w:type="dxa"/>
            <w:vAlign w:val="center"/>
          </w:tcPr>
          <w:p>
            <w:pPr>
              <w:pStyle w:val="12"/>
            </w:pPr>
            <w:r>
              <w:t>运行保障成本</w:t>
            </w:r>
          </w:p>
        </w:tc>
        <w:tc>
          <w:tcPr>
            <w:tcW w:w="1276" w:type="dxa"/>
            <w:vAlign w:val="center"/>
          </w:tcPr>
          <w:p>
            <w:pPr>
              <w:pStyle w:val="12"/>
            </w:pPr>
            <w:r>
              <w:t>≤100运行保障成本</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≥98提高工作效率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创新工作完成率</w:t>
            </w:r>
          </w:p>
        </w:tc>
        <w:tc>
          <w:tcPr>
            <w:tcW w:w="2891" w:type="dxa"/>
            <w:vAlign w:val="center"/>
          </w:tcPr>
          <w:p>
            <w:pPr>
              <w:pStyle w:val="12"/>
            </w:pPr>
            <w:r>
              <w:t>创新工作完成率</w:t>
            </w:r>
          </w:p>
        </w:tc>
        <w:tc>
          <w:tcPr>
            <w:tcW w:w="1276" w:type="dxa"/>
            <w:vAlign w:val="center"/>
          </w:tcPr>
          <w:p>
            <w:pPr>
              <w:pStyle w:val="12"/>
            </w:pPr>
            <w:r>
              <w:t>≥98创新工作完成率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≥98生态效益增长率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各项工作任务按时完成率</w:t>
            </w:r>
          </w:p>
        </w:tc>
        <w:tc>
          <w:tcPr>
            <w:tcW w:w="2891" w:type="dxa"/>
            <w:vAlign w:val="center"/>
          </w:tcPr>
          <w:p>
            <w:pPr>
              <w:pStyle w:val="12"/>
            </w:pPr>
            <w:r>
              <w:t>各项工作任务按时完成率</w:t>
            </w:r>
          </w:p>
        </w:tc>
        <w:tc>
          <w:tcPr>
            <w:tcW w:w="1276" w:type="dxa"/>
            <w:vAlign w:val="center"/>
          </w:tcPr>
          <w:p>
            <w:pPr>
              <w:pStyle w:val="12"/>
            </w:pPr>
            <w:r>
              <w:t>≥98各项工作任务按时完成率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4.运转保障-财政审计临时聘用资金绩效目标表</w:t>
      </w:r>
      <w:bookmarkEnd w:id="6"/>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13060523P00000110022C</w:t>
            </w:r>
          </w:p>
        </w:tc>
        <w:tc>
          <w:tcPr>
            <w:tcW w:w="1587" w:type="dxa"/>
            <w:vAlign w:val="center"/>
          </w:tcPr>
          <w:p>
            <w:pPr>
              <w:pStyle w:val="13"/>
            </w:pPr>
            <w:r>
              <w:t>项目名称</w:t>
            </w:r>
          </w:p>
        </w:tc>
        <w:tc>
          <w:tcPr>
            <w:tcW w:w="4423" w:type="dxa"/>
            <w:gridSpan w:val="3"/>
            <w:vAlign w:val="center"/>
          </w:tcPr>
          <w:p>
            <w:pPr>
              <w:pStyle w:val="12"/>
            </w:pPr>
            <w:r>
              <w:t>运转保障-财政审计临时聘用资金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48.00</w:t>
            </w:r>
          </w:p>
        </w:tc>
        <w:tc>
          <w:tcPr>
            <w:tcW w:w="1587" w:type="dxa"/>
            <w:vAlign w:val="center"/>
          </w:tcPr>
          <w:p>
            <w:pPr>
              <w:pStyle w:val="13"/>
            </w:pPr>
            <w:r>
              <w:t>其中：财政    资金</w:t>
            </w:r>
          </w:p>
        </w:tc>
        <w:tc>
          <w:tcPr>
            <w:tcW w:w="1304" w:type="dxa"/>
            <w:vAlign w:val="center"/>
          </w:tcPr>
          <w:p>
            <w:pPr>
              <w:pStyle w:val="12"/>
            </w:pPr>
            <w:r>
              <w:t>48.00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12.00</w:t>
            </w:r>
          </w:p>
        </w:tc>
        <w:tc>
          <w:tcPr>
            <w:tcW w:w="1587" w:type="dxa"/>
            <w:vAlign w:val="center"/>
          </w:tcPr>
          <w:p>
            <w:pPr>
              <w:pStyle w:val="14"/>
            </w:pPr>
            <w:r>
              <w:t>24.00</w:t>
            </w:r>
          </w:p>
        </w:tc>
        <w:tc>
          <w:tcPr>
            <w:tcW w:w="1304" w:type="dxa"/>
            <w:vAlign w:val="center"/>
          </w:tcPr>
          <w:p>
            <w:pPr>
              <w:pStyle w:val="14"/>
            </w:pPr>
            <w:r>
              <w:t>36.00</w:t>
            </w:r>
          </w:p>
        </w:tc>
        <w:tc>
          <w:tcPr>
            <w:tcW w:w="3119" w:type="dxa"/>
            <w:gridSpan w:val="2"/>
            <w:vAlign w:val="center"/>
          </w:tcPr>
          <w:p>
            <w:pPr>
              <w:pStyle w:val="14"/>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w:t>
            </w:r>
            <w:r>
              <w:rPr>
                <w:rFonts w:hint="eastAsia"/>
                <w:lang w:eastAsia="zh-CN"/>
              </w:rPr>
              <w:t>：保障单位工作正常运转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综合业务工作完成率</w:t>
            </w:r>
          </w:p>
        </w:tc>
        <w:tc>
          <w:tcPr>
            <w:tcW w:w="2891" w:type="dxa"/>
            <w:vAlign w:val="center"/>
          </w:tcPr>
          <w:p>
            <w:pPr>
              <w:pStyle w:val="12"/>
            </w:pPr>
            <w:r>
              <w:t>综合业务工作完成率</w:t>
            </w:r>
          </w:p>
        </w:tc>
        <w:tc>
          <w:tcPr>
            <w:tcW w:w="1276" w:type="dxa"/>
            <w:vAlign w:val="center"/>
          </w:tcPr>
          <w:p>
            <w:pPr>
              <w:pStyle w:val="12"/>
            </w:pPr>
            <w:r>
              <w:t>1工作完成量</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≥98保障工作完成率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≥98及时保障工作完成率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完成工作需要的资金</w:t>
            </w:r>
          </w:p>
        </w:tc>
        <w:tc>
          <w:tcPr>
            <w:tcW w:w="2891" w:type="dxa"/>
            <w:vAlign w:val="center"/>
          </w:tcPr>
          <w:p>
            <w:pPr>
              <w:pStyle w:val="12"/>
            </w:pPr>
            <w:r>
              <w:t>完成工作需要的资金</w:t>
            </w:r>
          </w:p>
        </w:tc>
        <w:tc>
          <w:tcPr>
            <w:tcW w:w="1276" w:type="dxa"/>
            <w:vAlign w:val="center"/>
          </w:tcPr>
          <w:p>
            <w:pPr>
              <w:pStyle w:val="12"/>
            </w:pPr>
            <w:r>
              <w:t>≤48提高工作效率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≥98提高工作效率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≥98保障工作完成率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≥98生态效益指标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≥98保障机关正常办公</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5.财政-关于提前下达2022年省级农村财会人员培训一般转移支付指标绩效目标表</w:t>
      </w:r>
      <w:bookmarkEnd w:id="7"/>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13060522P00421410001L</w:t>
            </w:r>
          </w:p>
        </w:tc>
        <w:tc>
          <w:tcPr>
            <w:tcW w:w="1587" w:type="dxa"/>
            <w:vAlign w:val="center"/>
          </w:tcPr>
          <w:p>
            <w:pPr>
              <w:pStyle w:val="13"/>
            </w:pPr>
            <w:r>
              <w:t>项目名称</w:t>
            </w:r>
          </w:p>
        </w:tc>
        <w:tc>
          <w:tcPr>
            <w:tcW w:w="4423" w:type="dxa"/>
            <w:gridSpan w:val="3"/>
            <w:vAlign w:val="center"/>
          </w:tcPr>
          <w:p>
            <w:pPr>
              <w:pStyle w:val="12"/>
            </w:pPr>
            <w:r>
              <w:t>财政-关于提前下达2022年省级农村财会人员培训一般转移支付指标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rPr>
                <w:rFonts w:hint="eastAsia" w:eastAsia="方正书宋_GBK"/>
                <w:lang w:eastAsia="zh-CN"/>
              </w:rPr>
            </w:pPr>
            <w:r>
              <w:rPr>
                <w:rFonts w:hint="eastAsia"/>
                <w:lang w:eastAsia="zh-CN"/>
              </w:rPr>
              <w:t>用于农村财会人员业务培训资金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6.00</w:t>
            </w:r>
          </w:p>
        </w:tc>
        <w:tc>
          <w:tcPr>
            <w:tcW w:w="1587" w:type="dxa"/>
            <w:vAlign w:val="center"/>
          </w:tcPr>
          <w:p>
            <w:pPr>
              <w:pStyle w:val="14"/>
            </w:pPr>
            <w:r>
              <w:t>6.00</w:t>
            </w:r>
          </w:p>
        </w:tc>
        <w:tc>
          <w:tcPr>
            <w:tcW w:w="1304" w:type="dxa"/>
            <w:vAlign w:val="center"/>
          </w:tcPr>
          <w:p>
            <w:pPr>
              <w:pStyle w:val="14"/>
            </w:pPr>
            <w:r>
              <w:t>6.00</w:t>
            </w:r>
          </w:p>
        </w:tc>
        <w:tc>
          <w:tcPr>
            <w:tcW w:w="3119"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1.增强会计人员的政策了解，顺利开展工作</w:t>
            </w:r>
            <w:r>
              <w:rPr>
                <w:rFonts w:hint="eastAsia"/>
                <w:lang w:eastAsia="zh-CN"/>
              </w:rPr>
              <w:t>，提高农村财会人员业务水平。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培训人员人次</w:t>
            </w:r>
          </w:p>
        </w:tc>
        <w:tc>
          <w:tcPr>
            <w:tcW w:w="2891" w:type="dxa"/>
            <w:vAlign w:val="center"/>
          </w:tcPr>
          <w:p>
            <w:pPr>
              <w:pStyle w:val="12"/>
            </w:pPr>
            <w:r>
              <w:t>培训人员人次</w:t>
            </w:r>
          </w:p>
        </w:tc>
        <w:tc>
          <w:tcPr>
            <w:tcW w:w="1276" w:type="dxa"/>
            <w:vAlign w:val="center"/>
          </w:tcPr>
          <w:p>
            <w:pPr>
              <w:pStyle w:val="12"/>
            </w:pPr>
            <w:r>
              <w:t>≥98%</w:t>
            </w:r>
          </w:p>
        </w:tc>
        <w:tc>
          <w:tcPr>
            <w:tcW w:w="1843" w:type="dxa"/>
            <w:vAlign w:val="center"/>
          </w:tcPr>
          <w:p>
            <w:pPr>
              <w:pStyle w:val="12"/>
            </w:pPr>
            <w:r>
              <w:t>依据指标文保财农（2021）106号文件工作要求</w:t>
            </w:r>
            <w:bookmarkStart w:id="11" w:name="_GoBack"/>
            <w:bookmarkEnd w:id="1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w:t>
            </w:r>
          </w:p>
        </w:tc>
        <w:tc>
          <w:tcPr>
            <w:tcW w:w="1843" w:type="dxa"/>
            <w:vAlign w:val="center"/>
          </w:tcPr>
          <w:p>
            <w:pPr>
              <w:pStyle w:val="12"/>
            </w:pPr>
            <w:r>
              <w:t>依据指标文保财农（2021）106号文件工作要求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≥95%</w:t>
            </w:r>
          </w:p>
        </w:tc>
        <w:tc>
          <w:tcPr>
            <w:tcW w:w="1843" w:type="dxa"/>
            <w:vAlign w:val="center"/>
          </w:tcPr>
          <w:p>
            <w:pPr>
              <w:pStyle w:val="12"/>
            </w:pPr>
            <w:r>
              <w:t>依据指标文保财农（2021）106号文件工作要求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7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6万元</w:t>
            </w:r>
          </w:p>
        </w:tc>
        <w:tc>
          <w:tcPr>
            <w:tcW w:w="1843" w:type="dxa"/>
            <w:vAlign w:val="center"/>
          </w:tcPr>
          <w:p>
            <w:pPr>
              <w:pStyle w:val="12"/>
            </w:pPr>
            <w:r>
              <w:t>依据指标文保财农（2021）106号文件工作要求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≥98%</w:t>
            </w:r>
          </w:p>
        </w:tc>
        <w:tc>
          <w:tcPr>
            <w:tcW w:w="1843" w:type="dxa"/>
            <w:vAlign w:val="center"/>
          </w:tcPr>
          <w:p>
            <w:pPr>
              <w:pStyle w:val="12"/>
            </w:pPr>
            <w:r>
              <w:t>依据指标文保财农（2021）106号文件工作要求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创新工作完成率</w:t>
            </w:r>
          </w:p>
        </w:tc>
        <w:tc>
          <w:tcPr>
            <w:tcW w:w="2891" w:type="dxa"/>
            <w:vAlign w:val="center"/>
          </w:tcPr>
          <w:p>
            <w:pPr>
              <w:pStyle w:val="12"/>
            </w:pPr>
            <w:r>
              <w:t>创新工作完成率</w:t>
            </w:r>
          </w:p>
        </w:tc>
        <w:tc>
          <w:tcPr>
            <w:tcW w:w="1276" w:type="dxa"/>
            <w:vAlign w:val="center"/>
          </w:tcPr>
          <w:p>
            <w:pPr>
              <w:pStyle w:val="12"/>
            </w:pPr>
            <w:r>
              <w:t>≥96%</w:t>
            </w:r>
          </w:p>
        </w:tc>
        <w:tc>
          <w:tcPr>
            <w:tcW w:w="1843" w:type="dxa"/>
            <w:vAlign w:val="center"/>
          </w:tcPr>
          <w:p>
            <w:pPr>
              <w:pStyle w:val="12"/>
            </w:pPr>
            <w:r>
              <w:t>依据指标文保财农（2021）106号文件工作要求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≥95%</w:t>
            </w:r>
          </w:p>
        </w:tc>
        <w:tc>
          <w:tcPr>
            <w:tcW w:w="1843" w:type="dxa"/>
            <w:vAlign w:val="center"/>
          </w:tcPr>
          <w:p>
            <w:pPr>
              <w:pStyle w:val="12"/>
            </w:pPr>
            <w:r>
              <w:t>依据指标文保财农（2021）106号文件工作要求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增强影响力</w:t>
            </w:r>
          </w:p>
        </w:tc>
        <w:tc>
          <w:tcPr>
            <w:tcW w:w="2891" w:type="dxa"/>
            <w:vAlign w:val="center"/>
          </w:tcPr>
          <w:p>
            <w:pPr>
              <w:pStyle w:val="12"/>
            </w:pPr>
            <w:r>
              <w:t>增强影响力</w:t>
            </w:r>
          </w:p>
        </w:tc>
        <w:tc>
          <w:tcPr>
            <w:tcW w:w="1276" w:type="dxa"/>
            <w:vAlign w:val="center"/>
          </w:tcPr>
          <w:p>
            <w:pPr>
              <w:pStyle w:val="12"/>
            </w:pPr>
            <w:r>
              <w:t>≥95%</w:t>
            </w:r>
          </w:p>
        </w:tc>
        <w:tc>
          <w:tcPr>
            <w:tcW w:w="1843" w:type="dxa"/>
            <w:vAlign w:val="center"/>
          </w:tcPr>
          <w:p>
            <w:pPr>
              <w:pStyle w:val="12"/>
            </w:pPr>
            <w:r>
              <w:t>依据指标文保财农（2021）106号文件工作要求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96%</w:t>
            </w:r>
          </w:p>
        </w:tc>
        <w:tc>
          <w:tcPr>
            <w:tcW w:w="1843" w:type="dxa"/>
            <w:vAlign w:val="center"/>
          </w:tcPr>
          <w:p>
            <w:pPr>
              <w:pStyle w:val="12"/>
            </w:pPr>
            <w:r>
              <w:t>依据指标文保财农（2021）106号文件工作要求</w:t>
            </w:r>
          </w:p>
          <w:p>
            <w:pPr>
              <w:pStyle w:val="12"/>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6.财政审计-关于提前下达2021年省级农村财会人员一般转移支付指标的通知（保财农【2020】107号）绩效目标表</w:t>
      </w:r>
      <w:bookmarkEnd w:id="8"/>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13060522P00456110001Y</w:t>
            </w:r>
          </w:p>
        </w:tc>
        <w:tc>
          <w:tcPr>
            <w:tcW w:w="1587" w:type="dxa"/>
            <w:vAlign w:val="center"/>
          </w:tcPr>
          <w:p>
            <w:pPr>
              <w:pStyle w:val="13"/>
            </w:pPr>
            <w:r>
              <w:t>项目名称</w:t>
            </w:r>
          </w:p>
        </w:tc>
        <w:tc>
          <w:tcPr>
            <w:tcW w:w="4423" w:type="dxa"/>
            <w:gridSpan w:val="3"/>
            <w:vAlign w:val="center"/>
          </w:tcPr>
          <w:p>
            <w:pPr>
              <w:pStyle w:val="12"/>
            </w:pPr>
            <w:r>
              <w:t>财政审计-关于提前下达2021年省级农村财会人员一般转移支付指标的通知（保财农【2020】107号）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支持地方做好农村财会人员培训工作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1.增强会计人员的政策了解，顺利开展工作</w:t>
            </w:r>
            <w:r>
              <w:rPr>
                <w:rFonts w:hint="eastAsia"/>
                <w:lang w:eastAsia="zh-CN"/>
              </w:rPr>
              <w:t>，提高农村财会人员业务水平。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培训次数</w:t>
            </w:r>
          </w:p>
        </w:tc>
        <w:tc>
          <w:tcPr>
            <w:tcW w:w="2891" w:type="dxa"/>
            <w:vAlign w:val="center"/>
          </w:tcPr>
          <w:p>
            <w:pPr>
              <w:pStyle w:val="12"/>
            </w:pPr>
            <w:r>
              <w:t>培训次数</w:t>
            </w:r>
          </w:p>
        </w:tc>
        <w:tc>
          <w:tcPr>
            <w:tcW w:w="1276" w:type="dxa"/>
            <w:vAlign w:val="center"/>
          </w:tcPr>
          <w:p>
            <w:pPr>
              <w:pStyle w:val="12"/>
            </w:pPr>
            <w:r>
              <w:t>≥1批</w:t>
            </w:r>
          </w:p>
        </w:tc>
        <w:tc>
          <w:tcPr>
            <w:tcW w:w="1843" w:type="dxa"/>
            <w:vAlign w:val="center"/>
          </w:tcPr>
          <w:p>
            <w:pPr>
              <w:pStyle w:val="12"/>
            </w:pPr>
            <w:r>
              <w:t>保财农【2020】107号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≥96%</w:t>
            </w:r>
          </w:p>
        </w:tc>
        <w:tc>
          <w:tcPr>
            <w:tcW w:w="1843" w:type="dxa"/>
            <w:vAlign w:val="center"/>
          </w:tcPr>
          <w:p>
            <w:pPr>
              <w:pStyle w:val="12"/>
            </w:pPr>
            <w:r>
              <w:t>保财农【2020】107号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≥96%</w:t>
            </w:r>
          </w:p>
        </w:tc>
        <w:tc>
          <w:tcPr>
            <w:tcW w:w="1843" w:type="dxa"/>
            <w:vAlign w:val="center"/>
          </w:tcPr>
          <w:p>
            <w:pPr>
              <w:pStyle w:val="12"/>
            </w:pPr>
            <w:r>
              <w:t>保财农【2020】107号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资金总成本</w:t>
            </w:r>
          </w:p>
        </w:tc>
        <w:tc>
          <w:tcPr>
            <w:tcW w:w="2891" w:type="dxa"/>
            <w:vAlign w:val="center"/>
          </w:tcPr>
          <w:p>
            <w:pPr>
              <w:pStyle w:val="12"/>
            </w:pPr>
            <w:r>
              <w:t>资金总成本</w:t>
            </w:r>
          </w:p>
        </w:tc>
        <w:tc>
          <w:tcPr>
            <w:tcW w:w="1276" w:type="dxa"/>
            <w:vAlign w:val="center"/>
          </w:tcPr>
          <w:p>
            <w:pPr>
              <w:pStyle w:val="12"/>
            </w:pPr>
            <w:r>
              <w:t>≤1万元</w:t>
            </w:r>
          </w:p>
        </w:tc>
        <w:tc>
          <w:tcPr>
            <w:tcW w:w="1843" w:type="dxa"/>
            <w:vAlign w:val="center"/>
          </w:tcPr>
          <w:p>
            <w:pPr>
              <w:pStyle w:val="12"/>
            </w:pPr>
            <w:r>
              <w:t>保财农【2020】107号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≥96%</w:t>
            </w:r>
          </w:p>
        </w:tc>
        <w:tc>
          <w:tcPr>
            <w:tcW w:w="1843" w:type="dxa"/>
            <w:vAlign w:val="center"/>
          </w:tcPr>
          <w:p>
            <w:pPr>
              <w:pStyle w:val="12"/>
            </w:pPr>
            <w:r>
              <w:t>保财农【2020】107号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创新工作完成率</w:t>
            </w:r>
          </w:p>
        </w:tc>
        <w:tc>
          <w:tcPr>
            <w:tcW w:w="2891" w:type="dxa"/>
            <w:vAlign w:val="center"/>
          </w:tcPr>
          <w:p>
            <w:pPr>
              <w:pStyle w:val="12"/>
            </w:pPr>
            <w:r>
              <w:t>创新工作完成率</w:t>
            </w:r>
          </w:p>
        </w:tc>
        <w:tc>
          <w:tcPr>
            <w:tcW w:w="1276" w:type="dxa"/>
            <w:vAlign w:val="center"/>
          </w:tcPr>
          <w:p>
            <w:pPr>
              <w:pStyle w:val="12"/>
            </w:pPr>
            <w:r>
              <w:t>≥96%</w:t>
            </w:r>
          </w:p>
        </w:tc>
        <w:tc>
          <w:tcPr>
            <w:tcW w:w="1843" w:type="dxa"/>
            <w:vAlign w:val="center"/>
          </w:tcPr>
          <w:p>
            <w:pPr>
              <w:pStyle w:val="12"/>
            </w:pPr>
            <w:r>
              <w:t>保财农【2020】107号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≥96%</w:t>
            </w:r>
          </w:p>
        </w:tc>
        <w:tc>
          <w:tcPr>
            <w:tcW w:w="1843" w:type="dxa"/>
            <w:vAlign w:val="center"/>
          </w:tcPr>
          <w:p>
            <w:pPr>
              <w:pStyle w:val="12"/>
            </w:pPr>
            <w:r>
              <w:t>保财农【2020】107号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增强影响力</w:t>
            </w:r>
          </w:p>
        </w:tc>
        <w:tc>
          <w:tcPr>
            <w:tcW w:w="2891" w:type="dxa"/>
            <w:vAlign w:val="center"/>
          </w:tcPr>
          <w:p>
            <w:pPr>
              <w:pStyle w:val="12"/>
            </w:pPr>
            <w:r>
              <w:t>增强影响力</w:t>
            </w:r>
          </w:p>
        </w:tc>
        <w:tc>
          <w:tcPr>
            <w:tcW w:w="1276" w:type="dxa"/>
            <w:vAlign w:val="center"/>
          </w:tcPr>
          <w:p>
            <w:pPr>
              <w:pStyle w:val="12"/>
            </w:pPr>
            <w:r>
              <w:t>≥96%</w:t>
            </w:r>
          </w:p>
        </w:tc>
        <w:tc>
          <w:tcPr>
            <w:tcW w:w="1843" w:type="dxa"/>
            <w:vAlign w:val="center"/>
          </w:tcPr>
          <w:p>
            <w:pPr>
              <w:pStyle w:val="12"/>
            </w:pPr>
            <w:r>
              <w:t>保财农【2020】107号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≥96%</w:t>
            </w:r>
          </w:p>
        </w:tc>
        <w:tc>
          <w:tcPr>
            <w:tcW w:w="1843" w:type="dxa"/>
            <w:vAlign w:val="center"/>
          </w:tcPr>
          <w:p>
            <w:pPr>
              <w:pStyle w:val="12"/>
            </w:pPr>
            <w:r>
              <w:t>保财农【2020】107号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7.财政审计-聘请第三方参与绩效管理资金绩效目标表</w:t>
      </w:r>
      <w:bookmarkEnd w:id="9"/>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13060523P004434100011</w:t>
            </w:r>
          </w:p>
        </w:tc>
        <w:tc>
          <w:tcPr>
            <w:tcW w:w="1587" w:type="dxa"/>
            <w:vAlign w:val="center"/>
          </w:tcPr>
          <w:p>
            <w:pPr>
              <w:pStyle w:val="13"/>
            </w:pPr>
            <w:r>
              <w:t>项目名称</w:t>
            </w:r>
          </w:p>
        </w:tc>
        <w:tc>
          <w:tcPr>
            <w:tcW w:w="4423" w:type="dxa"/>
            <w:gridSpan w:val="3"/>
            <w:vAlign w:val="center"/>
          </w:tcPr>
          <w:p>
            <w:pPr>
              <w:pStyle w:val="12"/>
            </w:pPr>
            <w:r>
              <w:t>财政审计-聘请第三方参与绩效管理资金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聘请第三方参与绩效管理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100.00</w:t>
            </w:r>
          </w:p>
        </w:tc>
        <w:tc>
          <w:tcPr>
            <w:tcW w:w="1304" w:type="dxa"/>
            <w:vAlign w:val="center"/>
          </w:tcPr>
          <w:p>
            <w:pPr>
              <w:pStyle w:val="14"/>
            </w:pPr>
            <w:r>
              <w:t>100.00</w:t>
            </w:r>
          </w:p>
        </w:tc>
        <w:tc>
          <w:tcPr>
            <w:tcW w:w="3119"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w:t>
            </w:r>
            <w:r>
              <w:rPr>
                <w:rFonts w:hint="eastAsia"/>
                <w:lang w:eastAsia="zh-CN"/>
              </w:rPr>
              <w:t>：推动我区预算绩效管理提质增效</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聘请第三方</w:t>
            </w:r>
          </w:p>
        </w:tc>
        <w:tc>
          <w:tcPr>
            <w:tcW w:w="2891" w:type="dxa"/>
            <w:vAlign w:val="center"/>
          </w:tcPr>
          <w:p>
            <w:pPr>
              <w:pStyle w:val="12"/>
            </w:pPr>
            <w:r>
              <w:t>聘请第三方</w:t>
            </w:r>
          </w:p>
        </w:tc>
        <w:tc>
          <w:tcPr>
            <w:tcW w:w="1276" w:type="dxa"/>
            <w:vAlign w:val="center"/>
          </w:tcPr>
          <w:p>
            <w:pPr>
              <w:pStyle w:val="12"/>
            </w:pPr>
            <w:r>
              <w:t>≥1家</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工作完成质量</w:t>
            </w:r>
          </w:p>
        </w:tc>
        <w:tc>
          <w:tcPr>
            <w:tcW w:w="2891" w:type="dxa"/>
            <w:vAlign w:val="center"/>
          </w:tcPr>
          <w:p>
            <w:pPr>
              <w:pStyle w:val="12"/>
            </w:pPr>
            <w:r>
              <w:t>工作完成质量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预算总成本</w:t>
            </w:r>
          </w:p>
        </w:tc>
        <w:tc>
          <w:tcPr>
            <w:tcW w:w="2891" w:type="dxa"/>
            <w:vAlign w:val="center"/>
          </w:tcPr>
          <w:p>
            <w:pPr>
              <w:pStyle w:val="12"/>
            </w:pPr>
            <w:r>
              <w:t>预算总成本</w:t>
            </w:r>
          </w:p>
        </w:tc>
        <w:tc>
          <w:tcPr>
            <w:tcW w:w="1276" w:type="dxa"/>
            <w:vAlign w:val="center"/>
          </w:tcPr>
          <w:p>
            <w:pPr>
              <w:pStyle w:val="12"/>
            </w:pPr>
            <w:r>
              <w:t>≤200万元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≥96%</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社会效益增长率</w:t>
            </w:r>
          </w:p>
        </w:tc>
        <w:tc>
          <w:tcPr>
            <w:tcW w:w="2891" w:type="dxa"/>
            <w:vAlign w:val="center"/>
          </w:tcPr>
          <w:p>
            <w:pPr>
              <w:pStyle w:val="12"/>
            </w:pPr>
            <w:r>
              <w:t>社会效益增长率</w:t>
            </w:r>
          </w:p>
        </w:tc>
        <w:tc>
          <w:tcPr>
            <w:tcW w:w="1276" w:type="dxa"/>
            <w:vAlign w:val="center"/>
          </w:tcPr>
          <w:p>
            <w:pPr>
              <w:pStyle w:val="12"/>
            </w:pPr>
            <w:r>
              <w:t>≥96%</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生态效益增值率</w:t>
            </w:r>
          </w:p>
        </w:tc>
        <w:tc>
          <w:tcPr>
            <w:tcW w:w="2891" w:type="dxa"/>
            <w:vAlign w:val="center"/>
          </w:tcPr>
          <w:p>
            <w:pPr>
              <w:pStyle w:val="12"/>
            </w:pPr>
            <w:r>
              <w:t>项目实施后生态效益增长率</w:t>
            </w:r>
          </w:p>
        </w:tc>
        <w:tc>
          <w:tcPr>
            <w:tcW w:w="1276" w:type="dxa"/>
            <w:vAlign w:val="center"/>
          </w:tcPr>
          <w:p>
            <w:pPr>
              <w:pStyle w:val="12"/>
            </w:pPr>
            <w:r>
              <w:t>≥96%</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可持续性服务</w:t>
            </w:r>
          </w:p>
        </w:tc>
        <w:tc>
          <w:tcPr>
            <w:tcW w:w="2891" w:type="dxa"/>
            <w:vAlign w:val="center"/>
          </w:tcPr>
          <w:p>
            <w:pPr>
              <w:pStyle w:val="12"/>
            </w:pPr>
            <w:r>
              <w:t>可持续性服务</w:t>
            </w:r>
          </w:p>
        </w:tc>
        <w:tc>
          <w:tcPr>
            <w:tcW w:w="1276" w:type="dxa"/>
            <w:vAlign w:val="center"/>
          </w:tcPr>
          <w:p>
            <w:pPr>
              <w:pStyle w:val="12"/>
            </w:pPr>
            <w:r>
              <w:t>≥96%</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≥96%</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8.财政审计-提前下达2023年省级农村财会人员资金（保财农[2022]84号）绩效目标表</w:t>
      </w:r>
      <w:bookmarkEnd w:id="10"/>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13060523P00456110001D</w:t>
            </w:r>
          </w:p>
        </w:tc>
        <w:tc>
          <w:tcPr>
            <w:tcW w:w="1587" w:type="dxa"/>
            <w:vAlign w:val="center"/>
          </w:tcPr>
          <w:p>
            <w:pPr>
              <w:pStyle w:val="13"/>
            </w:pPr>
            <w:r>
              <w:t>项目名称</w:t>
            </w:r>
          </w:p>
        </w:tc>
        <w:tc>
          <w:tcPr>
            <w:tcW w:w="4423" w:type="dxa"/>
            <w:gridSpan w:val="3"/>
            <w:vAlign w:val="center"/>
          </w:tcPr>
          <w:p>
            <w:pPr>
              <w:pStyle w:val="12"/>
            </w:pPr>
            <w:r>
              <w:t>财政审计-提前下达2023年省级农村财会人员资金（保财农[2022]84号）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2"/>
            </w:pPr>
            <w:r>
              <w:t>2023年省级农村财会人员培训资金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tcPr>
          <w:p>
            <w:p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w:t>
            </w:r>
            <w:r>
              <w:rPr>
                <w:rFonts w:hint="eastAsia"/>
                <w:lang w:eastAsia="zh-CN"/>
              </w:rPr>
              <w:t>：提高农村财会人员业务能力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培训次数</w:t>
            </w:r>
          </w:p>
        </w:tc>
        <w:tc>
          <w:tcPr>
            <w:tcW w:w="2891" w:type="dxa"/>
            <w:vAlign w:val="center"/>
          </w:tcPr>
          <w:p>
            <w:pPr>
              <w:pStyle w:val="12"/>
            </w:pPr>
            <w:r>
              <w:t>培训次数</w:t>
            </w:r>
          </w:p>
        </w:tc>
        <w:tc>
          <w:tcPr>
            <w:tcW w:w="1276" w:type="dxa"/>
            <w:vAlign w:val="center"/>
          </w:tcPr>
          <w:p>
            <w:pPr>
              <w:pStyle w:val="12"/>
            </w:pPr>
            <w:r>
              <w:t>≥1批</w:t>
            </w:r>
          </w:p>
        </w:tc>
        <w:tc>
          <w:tcPr>
            <w:tcW w:w="1843" w:type="dxa"/>
            <w:vAlign w:val="center"/>
          </w:tcPr>
          <w:p>
            <w:pPr>
              <w:pStyle w:val="12"/>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≥96%</w:t>
            </w:r>
          </w:p>
        </w:tc>
        <w:tc>
          <w:tcPr>
            <w:tcW w:w="1843" w:type="dxa"/>
            <w:vAlign w:val="center"/>
          </w:tcPr>
          <w:p>
            <w:pPr>
              <w:pStyle w:val="12"/>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96%</w:t>
            </w:r>
          </w:p>
        </w:tc>
        <w:tc>
          <w:tcPr>
            <w:tcW w:w="1843" w:type="dxa"/>
            <w:vAlign w:val="center"/>
          </w:tcPr>
          <w:p>
            <w:pPr>
              <w:pStyle w:val="12"/>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≤6万元</w:t>
            </w:r>
          </w:p>
        </w:tc>
        <w:tc>
          <w:tcPr>
            <w:tcW w:w="1843" w:type="dxa"/>
            <w:vAlign w:val="center"/>
          </w:tcPr>
          <w:p>
            <w:pPr>
              <w:pStyle w:val="12"/>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≥96%</w:t>
            </w:r>
          </w:p>
        </w:tc>
        <w:tc>
          <w:tcPr>
            <w:tcW w:w="1843" w:type="dxa"/>
            <w:vAlign w:val="center"/>
          </w:tcPr>
          <w:p>
            <w:pPr>
              <w:pStyle w:val="12"/>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社会效益指标</w:t>
            </w:r>
          </w:p>
        </w:tc>
        <w:tc>
          <w:tcPr>
            <w:tcW w:w="1332" w:type="dxa"/>
            <w:vAlign w:val="center"/>
          </w:tcPr>
          <w:p>
            <w:pPr>
              <w:pStyle w:val="12"/>
            </w:pPr>
            <w:r>
              <w:t>创新工作完成率</w:t>
            </w:r>
          </w:p>
        </w:tc>
        <w:tc>
          <w:tcPr>
            <w:tcW w:w="2891" w:type="dxa"/>
            <w:vAlign w:val="center"/>
          </w:tcPr>
          <w:p>
            <w:pPr>
              <w:pStyle w:val="12"/>
            </w:pPr>
            <w:r>
              <w:t>创新工作完成率</w:t>
            </w:r>
          </w:p>
        </w:tc>
        <w:tc>
          <w:tcPr>
            <w:tcW w:w="1276" w:type="dxa"/>
            <w:vAlign w:val="center"/>
          </w:tcPr>
          <w:p>
            <w:pPr>
              <w:pStyle w:val="12"/>
            </w:pPr>
            <w:r>
              <w:t>≥96%</w:t>
            </w:r>
          </w:p>
        </w:tc>
        <w:tc>
          <w:tcPr>
            <w:tcW w:w="1843" w:type="dxa"/>
            <w:vAlign w:val="center"/>
          </w:tcPr>
          <w:p>
            <w:pPr>
              <w:pStyle w:val="12"/>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≥96%</w:t>
            </w:r>
          </w:p>
        </w:tc>
        <w:tc>
          <w:tcPr>
            <w:tcW w:w="1843" w:type="dxa"/>
            <w:vAlign w:val="center"/>
          </w:tcPr>
          <w:p>
            <w:pPr>
              <w:pStyle w:val="12"/>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2"/>
            </w:pPr>
            <w:r>
              <w:t>可持续影响指标</w:t>
            </w:r>
          </w:p>
        </w:tc>
        <w:tc>
          <w:tcPr>
            <w:tcW w:w="1332" w:type="dxa"/>
            <w:vAlign w:val="center"/>
          </w:tcPr>
          <w:p>
            <w:pPr>
              <w:pStyle w:val="12"/>
            </w:pPr>
            <w:r>
              <w:t>增强影响力</w:t>
            </w:r>
          </w:p>
        </w:tc>
        <w:tc>
          <w:tcPr>
            <w:tcW w:w="2891" w:type="dxa"/>
            <w:vAlign w:val="center"/>
          </w:tcPr>
          <w:p>
            <w:pPr>
              <w:pStyle w:val="12"/>
            </w:pPr>
            <w:r>
              <w:t>增强影响力</w:t>
            </w:r>
          </w:p>
        </w:tc>
        <w:tc>
          <w:tcPr>
            <w:tcW w:w="1276" w:type="dxa"/>
            <w:vAlign w:val="center"/>
          </w:tcPr>
          <w:p>
            <w:pPr>
              <w:pStyle w:val="12"/>
            </w:pPr>
            <w:r>
              <w:t>≥96%</w:t>
            </w:r>
          </w:p>
        </w:tc>
        <w:tc>
          <w:tcPr>
            <w:tcW w:w="1843" w:type="dxa"/>
            <w:vAlign w:val="center"/>
          </w:tcPr>
          <w:p>
            <w:pPr>
              <w:pStyle w:val="12"/>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≥96%</w:t>
            </w:r>
          </w:p>
        </w:tc>
        <w:tc>
          <w:tcPr>
            <w:tcW w:w="1843" w:type="dxa"/>
            <w:vAlign w:val="center"/>
          </w:tcPr>
          <w:p>
            <w:pPr>
              <w:pStyle w:val="12"/>
            </w:pPr>
            <w:r>
              <w:t>保财农【2022】84号</w:t>
            </w:r>
          </w:p>
        </w:tc>
      </w:tr>
    </w:tbl>
    <w:p>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00"/>
    <w:family w:val="roman"/>
    <w:pitch w:val="default"/>
    <w:sig w:usb0="00007A87" w:usb1="80000000" w:usb2="00000008" w:usb3="00000000" w:csb0="400001FF" w:csb1="FFFF0000"/>
  </w:font>
  <w:font w:name="方正仿宋_GBK">
    <w:altName w:val="宋体"/>
    <w:panose1 w:val="00000000000000000000"/>
    <w:charset w:val="86"/>
    <w:family w:val="decorative"/>
    <w:pitch w:val="default"/>
    <w:sig w:usb0="00000000" w:usb1="00000000" w:usb2="00000000" w:usb3="00000000" w:csb0="00000000" w:csb1="00000000"/>
  </w:font>
  <w:font w:name="方正书宋_GBK">
    <w:altName w:val="宋体"/>
    <w:panose1 w:val="00000000000000000000"/>
    <w:charset w:val="86"/>
    <w:family w:val="decorative"/>
    <w:pitch w:val="default"/>
    <w:sig w:usb0="00000000" w:usb1="00000000" w:usb2="00000000" w:usb3="00000000" w:csb0="00000000" w:csb1="00000000"/>
  </w:font>
  <w:font w:name="方正小标宋_GBK">
    <w:altName w:val="宋体"/>
    <w:panose1 w:val="00000000000000000000"/>
    <w:charset w:val="86"/>
    <w:family w:val="decorative"/>
    <w:pitch w:val="default"/>
    <w:sig w:usb0="00000000" w:usb1="00000000" w:usb2="00000000" w:usb3="00000000" w:csb0="00000000" w:csb1="00000000"/>
  </w:font>
  <w:font w:name="方正楷体_GBK">
    <w:altName w:val="宋体"/>
    <w:panose1 w:val="00000000000000000000"/>
    <w:charset w:val="86"/>
    <w:family w:val="decorative"/>
    <w:pitch w:val="default"/>
    <w:sig w:usb0="00000000" w:usb1="00000000" w:usb2="00000000" w:usb3="00000000" w:csb0="00000000" w:csb1="00000000"/>
  </w:font>
  <w:font w:name="方正黑体_GBK">
    <w:altName w:val="宋体"/>
    <w:panose1 w:val="00000000000000000000"/>
    <w:charset w:val="86"/>
    <w:family w:val="decorative"/>
    <w:pitch w:val="default"/>
    <w:sig w:usb0="00000000" w:usb1="00000000" w:usb2="00000000" w:usb3="00000000" w:csb0="00000000" w:csb1="00000000"/>
  </w:font>
  <w:font w:name="Calibri Light">
    <w:altName w:val="Calibri"/>
    <w:panose1 w:val="00000000000000000000"/>
    <w:charset w:val="00"/>
    <w:family w:val="decorative"/>
    <w:pitch w:val="default"/>
    <w:sig w:usb0="00000000" w:usb1="00000000" w:usb2="00000000" w:usb3="00000000" w:csb0="0000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swiss"/>
    <w:pitch w:val="default"/>
    <w:sig w:usb0="00007A87" w:usb1="80000000" w:usb2="00000008" w:usb3="00000000" w:csb0="400001FF" w:csb1="FFFF0000"/>
  </w:font>
  <w:font w:name="方正仿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小标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 w:name="方正黑体_GBK">
    <w:altName w:val="宋体"/>
    <w:panose1 w:val="00000000000000000000"/>
    <w:charset w:val="86"/>
    <w:family w:val="modern"/>
    <w:pitch w:val="default"/>
    <w:sig w:usb0="00000000" w:usb1="00000000" w:usb2="00000000" w:usb3="00000000" w:csb0="00000000" w:csb1="00000000"/>
  </w:font>
  <w:font w:name="Calibri Light">
    <w:altName w:val="Calibri"/>
    <w:panose1 w:val="00000000000000000000"/>
    <w:charset w:val="00"/>
    <w:family w:val="modern"/>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Calibri Light">
    <w:altName w:val="Calibri"/>
    <w:panose1 w:val="00000000000000000000"/>
    <w:charset w:val="00"/>
    <w:family w:val="roman"/>
    <w:pitch w:val="default"/>
    <w:sig w:usb0="00000000" w:usb1="00000000" w:usb2="00000000" w:usb3="00000000" w:csb0="00000000" w:csb1="00000000"/>
  </w:font>
  <w:font w:name="Courier New">
    <w:panose1 w:val="02070309020205020404"/>
    <w:charset w:val="00"/>
    <w:family w:val="decorative"/>
    <w:pitch w:val="default"/>
    <w:sig w:usb0="00007A87" w:usb1="80000000" w:usb2="00000008" w:usb3="00000000" w:csb0="400001FF" w:csb1="FFFF0000"/>
  </w:font>
  <w:font w:name="方正仿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小标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 w:name="方正黑体_GBK">
    <w:altName w:val="宋体"/>
    <w:panose1 w:val="00000000000000000000"/>
    <w:charset w:val="86"/>
    <w:family w:val="swiss"/>
    <w:pitch w:val="default"/>
    <w:sig w:usb0="00000000" w:usb1="00000000" w:usb2="00000000" w:usb3="00000000" w:csb0="00000000" w:csb1="00000000"/>
  </w:font>
  <w:font w:name="Calibri Light">
    <w:altName w:val="Calibri"/>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fldChar w:fldCharType="begin"/>
    </w:r>
    <w:r>
      <w:instrText xml:space="preserve">PAGE "page number"</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D6356"/>
    <w:rsid w:val="00BE4BA8"/>
    <w:rsid w:val="00ED6356"/>
    <w:rsid w:val="135B0755"/>
    <w:rsid w:val="18DF0CDB"/>
    <w:rsid w:val="26A439BD"/>
    <w:rsid w:val="2E957F69"/>
    <w:rsid w:val="31FF6635"/>
    <w:rsid w:val="36FF6211"/>
    <w:rsid w:val="407679E6"/>
    <w:rsid w:val="43432B81"/>
    <w:rsid w:val="45E47356"/>
    <w:rsid w:val="55E859B4"/>
    <w:rsid w:val="5956393F"/>
    <w:rsid w:val="66682D8A"/>
    <w:rsid w:val="6DCC7BD7"/>
    <w:rsid w:val="7575125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4"/>
    <w:link w:val="3"/>
    <w:semiHidden/>
    <w:uiPriority w:val="99"/>
    <w:rPr>
      <w:rFonts w:eastAsia="Times New Roman"/>
      <w:sz w:val="18"/>
      <w:szCs w:val="18"/>
      <w:lang w:eastAsia="uk-UA"/>
    </w:rPr>
  </w:style>
  <w:style w:type="character" w:customStyle="1" w:styleId="19">
    <w:name w:val="页脚 Char"/>
    <w:basedOn w:val="4"/>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2023-02-27T16:36:00Z</dcterms:created>
  <dcterms:modified xsi:type="dcterms:W3CDTF">2023-02-27T08:36:00Z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2023-02-27T16:35:59Z</dcterms:created>
  <dcterms:modified xsi:type="dcterms:W3CDTF">2023-02-27T08:35:59Z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2023-02-27T16:35:59Z</dcterms:created>
  <dcterms:modified xsi:type="dcterms:W3CDTF">2023-02-27T08:35:59Z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2023-02-27T16:35:59Z</dcterms:created>
  <dcterms:modified xsi:type="dcterms:W3CDTF">2023-02-27T08:35:59Z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2023-02-27T16:35:59Z</dcterms:created>
  <dcterms:modified xsi:type="dcterms:W3CDTF">2023-02-27T08:35:59Z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2023-02-27T16:35:58Z</dcterms:created>
  <dcterms:modified xsi:type="dcterms:W3CDTF">2023-02-27T08:35:58Z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BAC7967-0353-4665-900A-565FF555C2EA}">
  <ds:schemaRefs/>
</ds:datastoreItem>
</file>

<file path=customXml/itemProps11.xml><?xml version="1.0" encoding="utf-8"?>
<ds:datastoreItem xmlns:ds="http://schemas.openxmlformats.org/officeDocument/2006/customXml" ds:itemID="{081053DB-11C1-4AA7-AB8C-65CCD1FA63E0}">
  <ds:schemaRefs/>
</ds:datastoreItem>
</file>

<file path=customXml/itemProps12.xml><?xml version="1.0" encoding="utf-8"?>
<ds:datastoreItem xmlns:ds="http://schemas.openxmlformats.org/officeDocument/2006/customXml" ds:itemID="{291A67A5-D6B1-4768-AC51-D77548EF434B}">
  <ds:schemaRefs/>
</ds:datastoreItem>
</file>

<file path=customXml/itemProps13.xml><?xml version="1.0" encoding="utf-8"?>
<ds:datastoreItem xmlns:ds="http://schemas.openxmlformats.org/officeDocument/2006/customXml" ds:itemID="{1B62A487-2A05-45D7-B11D-48A107344A3E}">
  <ds:schemaRefs/>
</ds:datastoreItem>
</file>

<file path=customXml/itemProps14.xml><?xml version="1.0" encoding="utf-8"?>
<ds:datastoreItem xmlns:ds="http://schemas.openxmlformats.org/officeDocument/2006/customXml" ds:itemID="{60D34D59-FF84-4BAF-9775-861B9733CB07}">
  <ds:schemaRefs/>
</ds:datastoreItem>
</file>

<file path=customXml/itemProps15.xml><?xml version="1.0" encoding="utf-8"?>
<ds:datastoreItem xmlns:ds="http://schemas.openxmlformats.org/officeDocument/2006/customXml" ds:itemID="{21E93D46-CB8D-42BA-A4D3-873782C3ED6D}">
  <ds:schemaRefs/>
</ds:datastoreItem>
</file>

<file path=customXml/itemProps16.xml><?xml version="1.0" encoding="utf-8"?>
<ds:datastoreItem xmlns:ds="http://schemas.openxmlformats.org/officeDocument/2006/customXml" ds:itemID="{912EAC10-9BEF-4FAE-B575-7DE2E368536A}">
  <ds:schemaRefs/>
</ds:datastoreItem>
</file>

<file path=customXml/itemProps17.xml><?xml version="1.0" encoding="utf-8"?>
<ds:datastoreItem xmlns:ds="http://schemas.openxmlformats.org/officeDocument/2006/customXml" ds:itemID="{34A96302-FC61-4053-A42A-E157C4E29693}">
  <ds:schemaRefs/>
</ds:datastoreItem>
</file>

<file path=customXml/itemProps18.xml><?xml version="1.0" encoding="utf-8"?>
<ds:datastoreItem xmlns:ds="http://schemas.openxmlformats.org/officeDocument/2006/customXml" ds:itemID="{59B05DE4-5C13-4413-8AEA-7543B8E6A3F4}">
  <ds:schemaRefs/>
</ds:datastoreItem>
</file>

<file path=customXml/itemProps19.xml><?xml version="1.0" encoding="utf-8"?>
<ds:datastoreItem xmlns:ds="http://schemas.openxmlformats.org/officeDocument/2006/customXml" ds:itemID="{562193FE-33A0-4A7A-BEB5-642056926E0C}">
  <ds:schemaRefs/>
</ds:datastoreItem>
</file>

<file path=customXml/itemProps2.xml><?xml version="1.0" encoding="utf-8"?>
<ds:datastoreItem xmlns:ds="http://schemas.openxmlformats.org/officeDocument/2006/customXml" ds:itemID="{6ECCD5CF-5EFB-4700-A978-BBED23934DF8}">
  <ds:schemaRefs/>
</ds:datastoreItem>
</file>

<file path=customXml/itemProps20.xml><?xml version="1.0" encoding="utf-8"?>
<ds:datastoreItem xmlns:ds="http://schemas.openxmlformats.org/officeDocument/2006/customXml" ds:itemID="{561965C7-B026-4781-9A19-EC728D479A06}">
  <ds:schemaRefs/>
</ds:datastoreItem>
</file>

<file path=customXml/itemProps21.xml><?xml version="1.0" encoding="utf-8"?>
<ds:datastoreItem xmlns:ds="http://schemas.openxmlformats.org/officeDocument/2006/customXml" ds:itemID="{2A3B6C5A-0CAE-4BA7-AC13-1115DCD94F95}">
  <ds:schemaRefs/>
</ds:datastoreItem>
</file>

<file path=customXml/itemProps3.xml><?xml version="1.0" encoding="utf-8"?>
<ds:datastoreItem xmlns:ds="http://schemas.openxmlformats.org/officeDocument/2006/customXml" ds:itemID="{861766EA-B87D-4F36-976E-620B40933BCF}">
  <ds:schemaRefs/>
</ds:datastoreItem>
</file>

<file path=customXml/itemProps4.xml><?xml version="1.0" encoding="utf-8"?>
<ds:datastoreItem xmlns:ds="http://schemas.openxmlformats.org/officeDocument/2006/customXml" ds:itemID="{361D418E-D728-46DA-88ED-A5F0E4A74455}">
  <ds:schemaRefs/>
</ds:datastoreItem>
</file>

<file path=customXml/itemProps5.xml><?xml version="1.0" encoding="utf-8"?>
<ds:datastoreItem xmlns:ds="http://schemas.openxmlformats.org/officeDocument/2006/customXml" ds:itemID="{514EED8F-40F7-48C5-95EE-8248DF63CE5E}">
  <ds:schemaRefs/>
</ds:datastoreItem>
</file>

<file path=customXml/itemProps6.xml><?xml version="1.0" encoding="utf-8"?>
<ds:datastoreItem xmlns:ds="http://schemas.openxmlformats.org/officeDocument/2006/customXml" ds:itemID="{CB4E3618-1F50-43C8-B2B5-6DBDDB298C8E}">
  <ds:schemaRefs/>
</ds:datastoreItem>
</file>

<file path=customXml/itemProps7.xml><?xml version="1.0" encoding="utf-8"?>
<ds:datastoreItem xmlns:ds="http://schemas.openxmlformats.org/officeDocument/2006/customXml" ds:itemID="{D23E1894-0091-4692-9CA5-BA4133B9EAC0}">
  <ds:schemaRefs/>
</ds:datastoreItem>
</file>

<file path=customXml/itemProps8.xml><?xml version="1.0" encoding="utf-8"?>
<ds:datastoreItem xmlns:ds="http://schemas.openxmlformats.org/officeDocument/2006/customXml" ds:itemID="{DB72B1AD-B2AC-42B8-9D66-50DAAB84C237}">
  <ds:schemaRefs/>
</ds:datastoreItem>
</file>

<file path=customXml/itemProps9.xml><?xml version="1.0" encoding="utf-8"?>
<ds:datastoreItem xmlns:ds="http://schemas.openxmlformats.org/officeDocument/2006/customXml" ds:itemID="{50CE5946-0C32-4DF3-B252-5586FC36443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1516</Words>
  <Characters>8643</Characters>
  <Lines>72</Lines>
  <Paragraphs>20</Paragraphs>
  <ScaleCrop>false</ScaleCrop>
  <LinksUpToDate>false</LinksUpToDate>
  <CharactersWithSpaces>10139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2023-02-27T08:34:00Z</dcterms:created>
  <dc:creator>Administrator</dc:creator>
  <cp:lastModifiedBy>Administrator</cp:lastModifiedBy>
  <dcterms:modified xsi:type="dcterms:W3CDTF">2023-03-06T00:57:40Z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