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highlight w:val="none"/>
        </w:rPr>
      </w:pPr>
      <w:r>
        <w:rPr>
          <w:rFonts w:hint="eastAsia" w:ascii="宋体" w:hAnsi="宋体" w:cs="黑体"/>
          <w:b/>
          <w:sz w:val="44"/>
          <w:szCs w:val="44"/>
          <w:highlight w:val="none"/>
          <w:lang w:eastAsia="zh-CN"/>
        </w:rPr>
        <w:t>保定</w:t>
      </w:r>
      <w:r>
        <w:rPr>
          <w:rFonts w:hint="eastAsia" w:ascii="宋体" w:hAnsi="宋体" w:cs="黑体"/>
          <w:b/>
          <w:sz w:val="44"/>
          <w:szCs w:val="44"/>
          <w:highlight w:val="none"/>
        </w:rPr>
        <w:t>白沟新</w:t>
      </w:r>
      <w:r>
        <w:rPr>
          <w:rFonts w:hint="eastAsia" w:ascii="宋体" w:hAnsi="宋体" w:cs="黑体"/>
          <w:b/>
          <w:sz w:val="44"/>
          <w:szCs w:val="44"/>
          <w:highlight w:val="none"/>
          <w:lang w:eastAsia="zh-CN"/>
        </w:rPr>
        <w:t>城经济社会发展局</w:t>
      </w:r>
    </w:p>
    <w:p>
      <w:pPr>
        <w:jc w:val="center"/>
        <w:rPr>
          <w:rFonts w:ascii="宋体"/>
          <w:b/>
          <w:sz w:val="44"/>
          <w:szCs w:val="44"/>
          <w:highlight w:val="none"/>
        </w:rPr>
      </w:pPr>
      <w:r>
        <w:rPr>
          <w:rFonts w:ascii="宋体" w:hAnsi="宋体"/>
          <w:b/>
          <w:sz w:val="44"/>
          <w:szCs w:val="44"/>
          <w:highlight w:val="none"/>
        </w:rPr>
        <w:t>201</w:t>
      </w:r>
      <w:r>
        <w:rPr>
          <w:rFonts w:hint="eastAsia" w:ascii="宋体" w:hAnsi="宋体"/>
          <w:b/>
          <w:sz w:val="44"/>
          <w:szCs w:val="44"/>
          <w:highlight w:val="none"/>
          <w:lang w:val="en-US" w:eastAsia="zh-CN"/>
        </w:rPr>
        <w:t>8</w:t>
      </w:r>
      <w:r>
        <w:rPr>
          <w:rFonts w:hint="eastAsia" w:ascii="宋体" w:hAnsi="宋体"/>
          <w:b/>
          <w:sz w:val="44"/>
          <w:szCs w:val="44"/>
          <w:highlight w:val="none"/>
        </w:rPr>
        <w:t>年部门预算信息公开</w:t>
      </w:r>
    </w:p>
    <w:p>
      <w:pPr>
        <w:spacing w:line="520" w:lineRule="exact"/>
        <w:ind w:firstLine="640" w:firstLineChars="200"/>
        <w:jc w:val="left"/>
        <w:rPr>
          <w:rFonts w:ascii="仿宋" w:hAnsi="仿宋" w:eastAsia="仿宋" w:cs="仿宋_GB2312"/>
          <w:sz w:val="32"/>
          <w:szCs w:val="32"/>
          <w:highlight w:val="none"/>
        </w:rPr>
      </w:pPr>
    </w:p>
    <w:p>
      <w:pPr>
        <w:spacing w:line="520" w:lineRule="exact"/>
        <w:ind w:firstLine="640" w:firstLineChars="200"/>
        <w:jc w:val="left"/>
        <w:rPr>
          <w:rFonts w:ascii="黑体" w:hAnsi="黑体" w:eastAsia="黑体"/>
          <w:sz w:val="32"/>
          <w:szCs w:val="32"/>
          <w:highlight w:val="none"/>
        </w:rPr>
      </w:pPr>
      <w:r>
        <w:rPr>
          <w:rFonts w:hint="eastAsia" w:ascii="仿宋" w:hAnsi="仿宋" w:eastAsia="仿宋" w:cs="仿宋_GB2312"/>
          <w:sz w:val="32"/>
          <w:szCs w:val="32"/>
          <w:highlight w:val="none"/>
        </w:rPr>
        <w:t>按照《预算法》规定，现将</w:t>
      </w:r>
      <w:r>
        <w:rPr>
          <w:rFonts w:hint="eastAsia" w:ascii="仿宋" w:hAnsi="仿宋" w:eastAsia="仿宋" w:cs="仿宋_GB2312"/>
          <w:sz w:val="32"/>
          <w:szCs w:val="32"/>
          <w:highlight w:val="none"/>
          <w:lang w:eastAsia="zh-CN"/>
        </w:rPr>
        <w:t>保定白沟新城经济社会发展局</w:t>
      </w:r>
      <w:r>
        <w:rPr>
          <w:rFonts w:ascii="仿宋" w:hAnsi="仿宋" w:eastAsia="仿宋" w:cs="仿宋_GB2312"/>
          <w:sz w:val="32"/>
          <w:szCs w:val="32"/>
          <w:highlight w:val="none"/>
        </w:rPr>
        <w:t>201</w:t>
      </w:r>
      <w:r>
        <w:rPr>
          <w:rFonts w:hint="eastAsia" w:ascii="仿宋" w:hAnsi="仿宋" w:eastAsia="仿宋" w:cs="仿宋_GB2312"/>
          <w:sz w:val="32"/>
          <w:szCs w:val="32"/>
          <w:highlight w:val="none"/>
          <w:lang w:val="en-US" w:eastAsia="zh-CN"/>
        </w:rPr>
        <w:t>8</w:t>
      </w:r>
      <w:r>
        <w:rPr>
          <w:rFonts w:hint="eastAsia" w:ascii="仿宋" w:hAnsi="仿宋" w:eastAsia="仿宋" w:cs="仿宋_GB2312"/>
          <w:sz w:val="32"/>
          <w:szCs w:val="32"/>
          <w:highlight w:val="none"/>
        </w:rPr>
        <w:t>年部门预算公开如下：</w:t>
      </w:r>
    </w:p>
    <w:p>
      <w:pPr>
        <w:spacing w:line="520" w:lineRule="exact"/>
        <w:ind w:firstLine="640" w:firstLineChars="200"/>
        <w:jc w:val="center"/>
        <w:rPr>
          <w:rFonts w:ascii="宋体" w:cs="黑体"/>
          <w:b/>
          <w:sz w:val="44"/>
          <w:szCs w:val="44"/>
          <w:highlight w:val="none"/>
        </w:rPr>
      </w:pPr>
      <w:r>
        <w:rPr>
          <w:rFonts w:hint="eastAsia" w:ascii="黑体" w:hAnsi="黑体" w:eastAsia="黑体"/>
          <w:sz w:val="32"/>
          <w:szCs w:val="32"/>
          <w:highlight w:val="none"/>
        </w:rPr>
        <w:t>第一部分</w:t>
      </w:r>
      <w:r>
        <w:rPr>
          <w:rFonts w:ascii="黑体" w:hAnsi="黑体" w:eastAsia="黑体"/>
          <w:sz w:val="32"/>
          <w:szCs w:val="32"/>
          <w:highlight w:val="none"/>
        </w:rPr>
        <w:t>:</w:t>
      </w:r>
      <w:r>
        <w:rPr>
          <w:rFonts w:hint="eastAsia" w:ascii="黑体" w:hAnsi="黑体" w:eastAsia="黑体"/>
          <w:sz w:val="32"/>
          <w:szCs w:val="32"/>
          <w:highlight w:val="none"/>
        </w:rPr>
        <w:t>部门职责及机构设置情况</w:t>
      </w:r>
    </w:p>
    <w:p>
      <w:pPr>
        <w:numPr>
          <w:ilvl w:val="0"/>
          <w:numId w:val="1"/>
        </w:numPr>
        <w:ind w:firstLine="643" w:firstLineChars="200"/>
        <w:rPr>
          <w:rFonts w:ascii="宋体" w:cs="宋体"/>
          <w:b/>
          <w:sz w:val="32"/>
          <w:szCs w:val="32"/>
          <w:highlight w:val="none"/>
        </w:rPr>
      </w:pPr>
      <w:r>
        <w:rPr>
          <w:rFonts w:hint="eastAsia" w:ascii="宋体" w:hAnsi="宋体" w:cs="宋体"/>
          <w:b/>
          <w:sz w:val="32"/>
          <w:szCs w:val="32"/>
          <w:highlight w:val="none"/>
        </w:rPr>
        <w:t>部门职责</w:t>
      </w:r>
    </w:p>
    <w:p>
      <w:pPr>
        <w:ind w:firstLine="645"/>
        <w:rPr>
          <w:rFonts w:hint="eastAsia" w:ascii="仿宋_GB2312" w:hAnsi="仿宋_GB2312" w:eastAsia="仿宋_GB2312" w:cs="仿宋_GB2312"/>
          <w:sz w:val="30"/>
          <w:szCs w:val="30"/>
          <w:highlight w:val="none"/>
        </w:rPr>
      </w:pPr>
      <w:r>
        <w:rPr>
          <w:rFonts w:hint="eastAsia" w:ascii="仿宋" w:hAnsi="仿宋" w:eastAsia="仿宋"/>
          <w:sz w:val="30"/>
          <w:szCs w:val="30"/>
          <w:highlight w:val="none"/>
        </w:rPr>
        <w:t>根据河北省机构编制委员会《关于组建保定白沟新城管理机构的通知》（冀机编【2010】29号）、保定市机构编制委员会《关于组建保定白沟新城管理机构的通知》（保编字【2010】38号）和《关于印发白沟新城主要职责内设机构和人员编制规定的通知》（保编字【2010】44号）文件的精神，以及根据保定白沟新城管理委员会白管字【2015】1号文关于管委会预算单位账户设置及资金拨付有关事项的通知，撤销宣传文化局、市场管理委员会办公室账户，宣传文化局、市管会预算资金拨付至经济社会发展局。现将白沟新城经济社会发展局及所属事业单位的职能配置、机构设置和人员编制情况明确如下：</w:t>
      </w:r>
    </w:p>
    <w:p>
      <w:pPr>
        <w:ind w:firstLine="645"/>
        <w:rPr>
          <w:rFonts w:hint="eastAsia" w:ascii="仿宋" w:hAnsi="仿宋" w:eastAsia="仿宋"/>
          <w:sz w:val="30"/>
          <w:szCs w:val="30"/>
          <w:highlight w:val="none"/>
        </w:rPr>
      </w:pPr>
      <w:r>
        <w:rPr>
          <w:rFonts w:hint="eastAsia" w:ascii="仿宋" w:hAnsi="仿宋" w:eastAsia="仿宋"/>
          <w:sz w:val="30"/>
          <w:szCs w:val="30"/>
          <w:highlight w:val="none"/>
          <w:lang w:val="en-US" w:eastAsia="zh-CN"/>
        </w:rPr>
        <w:t>1.</w:t>
      </w:r>
      <w:r>
        <w:rPr>
          <w:rFonts w:hint="eastAsia" w:ascii="仿宋" w:hAnsi="仿宋" w:eastAsia="仿宋"/>
          <w:sz w:val="30"/>
          <w:szCs w:val="30"/>
          <w:highlight w:val="none"/>
        </w:rPr>
        <w:t>主要负责发改、工信、科技、商务、统计、物价等县级权限所涉及到的所有行政审批及其他工作职责；负责保定市发展和改革委员会、工业和信息化局、科学技术局、商务局、统计局、物价局、旅游局等上级部门交办的其他事项</w:t>
      </w:r>
      <w:r>
        <w:rPr>
          <w:rFonts w:hint="eastAsia" w:ascii="仿宋" w:hAnsi="仿宋" w:eastAsia="仿宋"/>
          <w:sz w:val="30"/>
          <w:szCs w:val="30"/>
          <w:highlight w:val="none"/>
          <w:lang w:val="en-US" w:eastAsia="zh-CN"/>
        </w:rPr>
        <w:t>.</w:t>
      </w:r>
    </w:p>
    <w:p>
      <w:pPr>
        <w:ind w:firstLine="645"/>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白沟镇综合文化服务中心主要负责履行辖区宣传文化体育，精神文明网站广播电影电视，新闻出版等工作职责。宣传贯彻党和国家关于文化体育广播电影电视、新闻出版等方面的路线方针政策，负责全区宣传文化和精神文明建设等各方面工作，负责全区文化广播电视阅览室、文化活动室、文化市场及娱乐场所的监督和管理，组织开展群众性文化活动，收集保护文物，民族民间文化为艺术遗产，建设管理有线电视网络，为推进全区精神文明建设提供服务。</w:t>
      </w:r>
    </w:p>
    <w:p>
      <w:pPr>
        <w:ind w:firstLine="640" w:firstLineChars="200"/>
        <w:rPr>
          <w:rFonts w:ascii="宋体" w:cs="宋体"/>
          <w:b/>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白沟新城市场管理服务中心主要负责</w:t>
      </w:r>
      <w:r>
        <w:rPr>
          <w:rFonts w:hint="eastAsia" w:ascii="仿宋" w:hAnsi="仿宋" w:eastAsia="仿宋" w:cs="仿宋"/>
          <w:sz w:val="32"/>
          <w:szCs w:val="32"/>
          <w:highlight w:val="none"/>
        </w:rPr>
        <w:t>对辖区内的市场行使管理、监督、协调和服务职能。</w:t>
      </w:r>
    </w:p>
    <w:p>
      <w:pPr>
        <w:numPr>
          <w:ilvl w:val="0"/>
          <w:numId w:val="1"/>
        </w:numPr>
        <w:spacing w:line="600" w:lineRule="exact"/>
        <w:ind w:firstLine="602" w:firstLineChars="200"/>
        <w:rPr>
          <w:rFonts w:ascii="宋体" w:cs="宋体"/>
          <w:b/>
          <w:bCs/>
          <w:sz w:val="30"/>
          <w:szCs w:val="30"/>
          <w:highlight w:val="none"/>
        </w:rPr>
      </w:pPr>
      <w:r>
        <w:rPr>
          <w:rFonts w:hint="eastAsia" w:ascii="宋体" w:hAnsi="宋体" w:cs="宋体"/>
          <w:b/>
          <w:bCs/>
          <w:sz w:val="30"/>
          <w:szCs w:val="30"/>
          <w:highlight w:val="none"/>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val="en-US" w:eastAsia="zh-CN"/>
              </w:rPr>
              <w:t>保定白沟新城经济社会发展局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财政拨款</w:t>
            </w:r>
          </w:p>
        </w:tc>
      </w:tr>
      <w:tr>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2</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eastAsia="zh-CN"/>
              </w:rPr>
              <w:t>白沟镇综合文化服务中心</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事业</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财政拨款</w:t>
            </w:r>
          </w:p>
        </w:tc>
      </w:tr>
      <w:tr>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3</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eastAsia="zh-CN"/>
              </w:rPr>
              <w:t>白沟新城市场管理服务中心</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事业</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财政拨款</w:t>
            </w:r>
          </w:p>
        </w:tc>
      </w:tr>
    </w:tbl>
    <w:p>
      <w:pPr>
        <w:jc w:val="center"/>
        <w:outlineLvl w:val="0"/>
        <w:rPr>
          <w:rFonts w:ascii="黑体" w:hAnsi="黑体" w:eastAsia="黑体"/>
          <w:b/>
          <w:sz w:val="32"/>
          <w:highlight w:val="none"/>
        </w:rPr>
      </w:pPr>
    </w:p>
    <w:p>
      <w:pPr>
        <w:spacing w:line="520" w:lineRule="exact"/>
        <w:ind w:left="640" w:firstLine="964" w:firstLineChars="300"/>
        <w:rPr>
          <w:rFonts w:ascii="黑体" w:hAnsi="黑体" w:eastAsia="黑体"/>
          <w:b/>
          <w:sz w:val="32"/>
          <w:highlight w:val="none"/>
        </w:rPr>
      </w:pPr>
      <w:r>
        <w:rPr>
          <w:rFonts w:hint="eastAsia" w:ascii="黑体" w:hAnsi="黑体" w:eastAsia="黑体"/>
          <w:b/>
          <w:sz w:val="32"/>
          <w:highlight w:val="none"/>
        </w:rPr>
        <w:t>第二部分：</w:t>
      </w:r>
      <w:r>
        <w:rPr>
          <w:rFonts w:hint="eastAsia" w:ascii="黑体" w:hAnsi="黑体" w:eastAsia="黑体"/>
          <w:sz w:val="32"/>
          <w:szCs w:val="32"/>
          <w:highlight w:val="none"/>
        </w:rPr>
        <w:t>部门预算安排的总体情况</w:t>
      </w:r>
    </w:p>
    <w:p>
      <w:pPr>
        <w:numPr>
          <w:ilvl w:val="0"/>
          <w:numId w:val="2"/>
        </w:numPr>
        <w:spacing w:line="520" w:lineRule="exact"/>
        <w:ind w:firstLine="643" w:firstLineChars="200"/>
        <w:rPr>
          <w:rFonts w:ascii="宋体" w:cs="宋体"/>
          <w:b/>
          <w:bCs/>
          <w:sz w:val="32"/>
          <w:szCs w:val="32"/>
          <w:highlight w:val="none"/>
        </w:rPr>
      </w:pPr>
      <w:r>
        <w:rPr>
          <w:rFonts w:hint="eastAsia" w:ascii="宋体" w:hAnsi="宋体" w:cs="宋体"/>
          <w:b/>
          <w:bCs/>
          <w:sz w:val="32"/>
          <w:szCs w:val="32"/>
          <w:highlight w:val="none"/>
        </w:rPr>
        <w:t>收入说明</w:t>
      </w:r>
    </w:p>
    <w:p>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年年初部门收入预算总额</w:t>
      </w:r>
      <w:r>
        <w:rPr>
          <w:rFonts w:hint="eastAsia" w:ascii="仿宋" w:hAnsi="仿宋" w:eastAsia="仿宋"/>
          <w:sz w:val="32"/>
          <w:szCs w:val="32"/>
          <w:highlight w:val="none"/>
          <w:lang w:val="en-US" w:eastAsia="zh-CN"/>
        </w:rPr>
        <w:t xml:space="preserve"> 10928.118</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其中：一般公共预算收入</w:t>
      </w:r>
      <w:r>
        <w:rPr>
          <w:rFonts w:hint="eastAsia" w:ascii="仿宋" w:hAnsi="仿宋" w:eastAsia="仿宋"/>
          <w:sz w:val="32"/>
          <w:szCs w:val="32"/>
          <w:highlight w:val="none"/>
          <w:lang w:val="en-US" w:eastAsia="zh-CN"/>
        </w:rPr>
        <w:t>10758.118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spacing w:line="520" w:lineRule="exact"/>
        <w:ind w:firstLine="640" w:firstLineChars="200"/>
        <w:rPr>
          <w:rFonts w:ascii="仿宋" w:hAnsi="仿宋" w:eastAsia="仿宋"/>
          <w:sz w:val="32"/>
          <w:szCs w:val="32"/>
          <w:highlight w:val="none"/>
        </w:rPr>
      </w:pPr>
      <w:r>
        <w:rPr>
          <w:rFonts w:ascii="黑体" w:hAnsi="黑体" w:eastAsia="黑体"/>
          <w:sz w:val="32"/>
          <w:szCs w:val="32"/>
          <w:highlight w:val="none"/>
        </w:rPr>
        <w:t>2</w:t>
      </w:r>
      <w:r>
        <w:rPr>
          <w:rFonts w:hint="eastAsia" w:ascii="黑体" w:hAnsi="黑体" w:eastAsia="黑体"/>
          <w:sz w:val="32"/>
          <w:szCs w:val="32"/>
          <w:highlight w:val="none"/>
        </w:rPr>
        <w:t>、支出说明</w:t>
      </w:r>
    </w:p>
    <w:p>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年部门支出安排预算总额</w:t>
      </w:r>
      <w:r>
        <w:rPr>
          <w:rFonts w:hint="eastAsia" w:ascii="仿宋" w:hAnsi="仿宋" w:eastAsia="仿宋"/>
          <w:sz w:val="32"/>
          <w:szCs w:val="32"/>
          <w:highlight w:val="none"/>
          <w:lang w:val="en-US" w:eastAsia="zh-CN"/>
        </w:rPr>
        <w:t xml:space="preserve">10928.118  </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 xml:space="preserve">461.52 </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426.52 </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hint="eastAsia" w:ascii="仿宋" w:hAnsi="仿宋" w:eastAsia="仿宋"/>
          <w:sz w:val="32"/>
          <w:szCs w:val="32"/>
          <w:highlight w:val="none"/>
          <w:lang w:val="en-US" w:eastAsia="zh-CN"/>
        </w:rPr>
        <w:t>35</w:t>
      </w:r>
      <w:r>
        <w:rPr>
          <w:rFonts w:ascii="仿宋" w:hAnsi="仿宋" w:eastAsia="仿宋"/>
          <w:sz w:val="32"/>
          <w:szCs w:val="32"/>
          <w:highlight w:val="none"/>
        </w:rPr>
        <w:t xml:space="preserve"> </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 xml:space="preserve">10466.598 </w:t>
      </w:r>
      <w:r>
        <w:rPr>
          <w:rFonts w:hint="eastAsia" w:ascii="仿宋" w:hAnsi="仿宋" w:eastAsia="仿宋"/>
          <w:sz w:val="32"/>
          <w:szCs w:val="32"/>
          <w:highlight w:val="none"/>
        </w:rPr>
        <w:t>万元</w:t>
      </w:r>
    </w:p>
    <w:p>
      <w:pPr>
        <w:tabs>
          <w:tab w:val="left" w:pos="916"/>
        </w:tabs>
        <w:spacing w:line="560" w:lineRule="exact"/>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其中：本级支出</w:t>
      </w:r>
      <w:r>
        <w:rPr>
          <w:rFonts w:hint="eastAsia" w:ascii="仿宋" w:hAnsi="仿宋" w:eastAsia="仿宋"/>
          <w:sz w:val="32"/>
          <w:szCs w:val="32"/>
          <w:highlight w:val="none"/>
          <w:lang w:val="en-US" w:eastAsia="zh-CN"/>
        </w:rPr>
        <w:t xml:space="preserve"> 10388.44</w:t>
      </w:r>
      <w:r>
        <w:rPr>
          <w:rFonts w:hint="eastAsia" w:ascii="仿宋" w:hAnsi="仿宋" w:eastAsia="仿宋"/>
          <w:sz w:val="32"/>
          <w:szCs w:val="32"/>
          <w:highlight w:val="none"/>
        </w:rPr>
        <w:t>万元</w:t>
      </w:r>
    </w:p>
    <w:p>
      <w:pPr>
        <w:tabs>
          <w:tab w:val="left" w:pos="916"/>
        </w:tabs>
        <w:spacing w:line="560" w:lineRule="exact"/>
        <w:ind w:firstLine="640" w:firstLineChars="200"/>
        <w:jc w:val="left"/>
        <w:rPr>
          <w:rFonts w:ascii="黑体" w:hAnsi="黑体" w:eastAsia="黑体"/>
          <w:sz w:val="32"/>
          <w:szCs w:val="32"/>
          <w:highlight w:val="none"/>
        </w:rPr>
      </w:pPr>
      <w:r>
        <w:rPr>
          <w:rFonts w:ascii="黑体" w:hAnsi="黑体" w:eastAsia="黑体"/>
          <w:sz w:val="32"/>
          <w:szCs w:val="32"/>
          <w:highlight w:val="none"/>
        </w:rPr>
        <w:t>3</w:t>
      </w:r>
      <w:r>
        <w:rPr>
          <w:rFonts w:hint="eastAsia" w:ascii="黑体" w:hAnsi="黑体" w:eastAsia="黑体"/>
          <w:sz w:val="32"/>
          <w:szCs w:val="32"/>
          <w:highlight w:val="none"/>
        </w:rPr>
        <w:t>、与上年增减情况</w:t>
      </w:r>
    </w:p>
    <w:p>
      <w:pPr>
        <w:tabs>
          <w:tab w:val="left" w:pos="916"/>
        </w:tabs>
        <w:spacing w:line="560" w:lineRule="exact"/>
        <w:ind w:firstLine="64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rPr>
        <w:t>本年度预算收支安排</w:t>
      </w:r>
      <w:r>
        <w:rPr>
          <w:rFonts w:hint="eastAsia" w:ascii="仿宋" w:hAnsi="仿宋" w:eastAsia="仿宋"/>
          <w:sz w:val="32"/>
          <w:szCs w:val="32"/>
          <w:highlight w:val="none"/>
          <w:lang w:val="en-US" w:eastAsia="zh-CN"/>
        </w:rPr>
        <w:t xml:space="preserve">10928.118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较上年减少</w:t>
      </w:r>
      <w:r>
        <w:rPr>
          <w:rFonts w:hint="eastAsia" w:ascii="仿宋" w:hAnsi="仿宋" w:eastAsia="仿宋"/>
          <w:sz w:val="32"/>
          <w:szCs w:val="32"/>
          <w:highlight w:val="none"/>
          <w:lang w:val="en-US" w:eastAsia="zh-CN"/>
        </w:rPr>
        <w:t>3148.902万元。</w:t>
      </w:r>
      <w:r>
        <w:rPr>
          <w:rFonts w:hint="eastAsia" w:ascii="仿宋" w:hAnsi="仿宋" w:eastAsia="仿宋"/>
          <w:sz w:val="32"/>
          <w:szCs w:val="32"/>
          <w:highlight w:val="none"/>
          <w:lang w:val="zh-CN"/>
        </w:rPr>
        <w:t>其中：</w:t>
      </w:r>
      <w:r>
        <w:rPr>
          <w:rFonts w:hint="eastAsia" w:ascii="仿宋" w:hAnsi="仿宋" w:eastAsia="仿宋"/>
          <w:sz w:val="32"/>
          <w:szCs w:val="32"/>
          <w:highlight w:val="none"/>
          <w:lang w:val="en-US" w:eastAsia="zh-CN"/>
        </w:rPr>
        <w:t>项目支出减少5172万元，主要原因是去年同期上级转移支付下达我区5000万市场采购贸易专项资金；项目支出增加2043.918万元,主要原因是用于春节文化活动，博物馆支出增加以及其他涉外发展服务的国际贸易港租金支出。</w:t>
      </w:r>
    </w:p>
    <w:p>
      <w:pPr>
        <w:spacing w:line="360" w:lineRule="auto"/>
        <w:ind w:firstLine="800" w:firstLineChars="250"/>
        <w:rPr>
          <w:rFonts w:hint="eastAsia" w:ascii="仿宋" w:hAnsi="仿宋" w:eastAsia="仿宋"/>
          <w:sz w:val="32"/>
          <w:szCs w:val="32"/>
          <w:highlight w:val="none"/>
        </w:rPr>
      </w:pPr>
      <w:r>
        <w:rPr>
          <w:rFonts w:hint="eastAsia" w:ascii="仿宋" w:hAnsi="仿宋" w:eastAsia="仿宋"/>
          <w:sz w:val="32"/>
          <w:szCs w:val="32"/>
          <w:highlight w:val="none"/>
        </w:rPr>
        <w:t>2018年我局的各项支出将以全面贯彻党和国家的有关政策、认真遵守财经纪律为准则，严格按预算规定的标准、用途执行，做到经费按进度，专款要专用，力争全面提高资金的使用效率。</w:t>
      </w:r>
    </w:p>
    <w:p>
      <w:pPr>
        <w:tabs>
          <w:tab w:val="left" w:pos="916"/>
        </w:tabs>
        <w:spacing w:line="560" w:lineRule="exact"/>
        <w:ind w:firstLine="640"/>
        <w:jc w:val="left"/>
        <w:rPr>
          <w:rFonts w:hint="eastAsia" w:ascii="仿宋_GB2312" w:eastAsia="仿宋_GB2312" w:cs="仿宋"/>
          <w:kern w:val="0"/>
          <w:sz w:val="32"/>
          <w:szCs w:val="32"/>
          <w:highlight w:val="none"/>
          <w:lang w:val="en-US" w:eastAsia="zh-CN"/>
        </w:rPr>
      </w:pPr>
    </w:p>
    <w:p>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pPr>
        <w:ind w:firstLine="600" w:firstLineChars="200"/>
        <w:rPr>
          <w:rFonts w:hint="eastAsia" w:ascii="仿宋" w:hAnsi="仿宋" w:eastAsia="仿宋" w:cs="仿宋"/>
          <w:sz w:val="30"/>
          <w:szCs w:val="30"/>
          <w:highlight w:val="none"/>
          <w:lang w:val="zh-CN"/>
        </w:rPr>
      </w:pPr>
      <w:r>
        <w:rPr>
          <w:rFonts w:hint="eastAsia" w:ascii="仿宋" w:hAnsi="仿宋" w:eastAsia="仿宋" w:cs="宋体"/>
          <w:sz w:val="30"/>
          <w:szCs w:val="30"/>
          <w:highlight w:val="none"/>
        </w:rPr>
        <w:t>我局机关运行经费安排资金</w:t>
      </w:r>
      <w:r>
        <w:rPr>
          <w:rFonts w:hint="eastAsia" w:ascii="仿宋" w:hAnsi="仿宋" w:eastAsia="仿宋" w:cs="宋体"/>
          <w:sz w:val="30"/>
          <w:szCs w:val="30"/>
          <w:highlight w:val="none"/>
          <w:lang w:val="en-US" w:eastAsia="zh-CN"/>
        </w:rPr>
        <w:t xml:space="preserve">35 </w:t>
      </w:r>
      <w:r>
        <w:rPr>
          <w:rFonts w:hint="eastAsia" w:ascii="仿宋" w:hAnsi="仿宋" w:eastAsia="仿宋" w:cs="宋体"/>
          <w:sz w:val="30"/>
          <w:szCs w:val="30"/>
          <w:highlight w:val="none"/>
        </w:rPr>
        <w:t>万元，其中办公费</w:t>
      </w:r>
      <w:r>
        <w:rPr>
          <w:rFonts w:hint="eastAsia" w:ascii="仿宋" w:hAnsi="仿宋" w:eastAsia="仿宋" w:cs="宋体"/>
          <w:sz w:val="30"/>
          <w:szCs w:val="30"/>
          <w:highlight w:val="none"/>
          <w:lang w:val="en-US" w:eastAsia="zh-CN"/>
        </w:rPr>
        <w:t xml:space="preserve">9.9 </w:t>
      </w:r>
      <w:r>
        <w:rPr>
          <w:rFonts w:hint="eastAsia" w:ascii="仿宋" w:hAnsi="仿宋" w:eastAsia="仿宋" w:cs="宋体"/>
          <w:sz w:val="30"/>
          <w:szCs w:val="30"/>
          <w:highlight w:val="none"/>
        </w:rPr>
        <w:t>万元</w:t>
      </w:r>
      <w:r>
        <w:rPr>
          <w:rFonts w:hint="eastAsia" w:ascii="仿宋" w:hAnsi="仿宋" w:eastAsia="仿宋" w:cs="仿宋"/>
          <w:b w:val="0"/>
          <w:bCs/>
          <w:sz w:val="30"/>
          <w:szCs w:val="30"/>
          <w:highlight w:val="none"/>
          <w:lang w:val="en-US" w:eastAsia="zh-CN"/>
        </w:rPr>
        <w:t>，邮电费4.02万元，差旅费1.35万元，维护费0.45万元，会议费0.45万元，印刷费0.45万元，培训费0.42万元，工会经费4.91万元，福利费3万元，党组织活动经费0.42万元，公务交通补贴6.54万元，退休干部公用经费0.09万元，公务用车运行维护费3.00万元。</w:t>
      </w:r>
    </w:p>
    <w:p>
      <w:pPr>
        <w:autoSpaceDE w:val="0"/>
        <w:autoSpaceDN w:val="0"/>
        <w:adjustRightInd w:val="0"/>
        <w:spacing w:line="600" w:lineRule="exact"/>
        <w:jc w:val="center"/>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pPr>
        <w:ind w:firstLine="600" w:firstLineChars="200"/>
        <w:jc w:val="center"/>
        <w:rPr>
          <w:rFonts w:ascii="宋体" w:cs="宋体"/>
          <w:sz w:val="30"/>
          <w:szCs w:val="30"/>
          <w:highlight w:val="none"/>
        </w:rPr>
      </w:pPr>
      <w:r>
        <w:rPr>
          <w:rFonts w:hint="eastAsia" w:ascii="宋体" w:hAnsi="宋体" w:cs="宋体"/>
          <w:sz w:val="30"/>
          <w:szCs w:val="30"/>
          <w:highlight w:val="none"/>
        </w:rPr>
        <w:t>财政拨款“三公经费”预算数</w:t>
      </w:r>
      <w:r>
        <w:rPr>
          <w:rFonts w:hint="eastAsia" w:ascii="宋体" w:hAnsi="宋体" w:cs="宋体"/>
          <w:sz w:val="30"/>
          <w:szCs w:val="30"/>
          <w:highlight w:val="none"/>
          <w:lang w:val="en-US" w:eastAsia="zh-CN"/>
        </w:rPr>
        <w:t>3</w:t>
      </w:r>
      <w:r>
        <w:rPr>
          <w:rFonts w:hint="eastAsia" w:ascii="宋体" w:hAnsi="宋体" w:cs="宋体"/>
          <w:sz w:val="30"/>
          <w:szCs w:val="30"/>
          <w:highlight w:val="none"/>
        </w:rPr>
        <w:t>万元。</w:t>
      </w:r>
    </w:p>
    <w:tbl>
      <w:tblPr>
        <w:tblStyle w:val="5"/>
        <w:tblW w:w="14720" w:type="dxa"/>
        <w:tblInd w:w="0" w:type="dxa"/>
        <w:tblLayout w:type="fixed"/>
        <w:tblCellMar>
          <w:top w:w="0" w:type="dxa"/>
          <w:left w:w="108" w:type="dxa"/>
          <w:bottom w:w="0" w:type="dxa"/>
          <w:right w:w="108" w:type="dxa"/>
        </w:tblCellMar>
      </w:tblPr>
      <w:tblGrid>
        <w:gridCol w:w="3190"/>
        <w:gridCol w:w="2564"/>
        <w:gridCol w:w="2563"/>
        <w:gridCol w:w="1756"/>
        <w:gridCol w:w="4647"/>
      </w:tblGrid>
      <w:tr>
        <w:tblPrEx>
          <w:tblCellMar>
            <w:top w:w="0" w:type="dxa"/>
            <w:left w:w="108" w:type="dxa"/>
            <w:bottom w:w="0" w:type="dxa"/>
            <w:right w:w="108" w:type="dxa"/>
          </w:tblCellMar>
        </w:tblPrEx>
        <w:trPr>
          <w:trHeight w:val="578" w:hRule="atLeast"/>
        </w:trPr>
        <w:tc>
          <w:tcPr>
            <w:tcW w:w="14720"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tblPrEx>
          <w:tblCellMar>
            <w:top w:w="0" w:type="dxa"/>
            <w:left w:w="108" w:type="dxa"/>
            <w:bottom w:w="0" w:type="dxa"/>
            <w:right w:w="108" w:type="dxa"/>
          </w:tblCellMar>
        </w:tblPrEx>
        <w:trPr>
          <w:trHeight w:val="360" w:hRule="atLeast"/>
        </w:trPr>
        <w:tc>
          <w:tcPr>
            <w:tcW w:w="3190" w:type="dxa"/>
            <w:tcBorders>
              <w:top w:val="nil"/>
              <w:left w:val="nil"/>
              <w:bottom w:val="nil"/>
              <w:right w:val="nil"/>
            </w:tcBorders>
            <w:vAlign w:val="center"/>
          </w:tcPr>
          <w:p>
            <w:pPr>
              <w:widowControl/>
              <w:jc w:val="center"/>
              <w:rPr>
                <w:rFonts w:ascii="宋体" w:cs="宋体"/>
                <w:kern w:val="0"/>
                <w:sz w:val="24"/>
                <w:highlight w:val="none"/>
              </w:rPr>
            </w:pPr>
          </w:p>
        </w:tc>
        <w:tc>
          <w:tcPr>
            <w:tcW w:w="2564" w:type="dxa"/>
            <w:tcBorders>
              <w:top w:val="nil"/>
              <w:left w:val="nil"/>
              <w:bottom w:val="nil"/>
              <w:right w:val="nil"/>
            </w:tcBorders>
            <w:vAlign w:val="center"/>
          </w:tcPr>
          <w:p>
            <w:pPr>
              <w:widowControl/>
              <w:jc w:val="center"/>
              <w:rPr>
                <w:rFonts w:ascii="宋体" w:cs="宋体"/>
                <w:kern w:val="0"/>
                <w:sz w:val="24"/>
                <w:highlight w:val="none"/>
              </w:rPr>
            </w:pPr>
          </w:p>
        </w:tc>
        <w:tc>
          <w:tcPr>
            <w:tcW w:w="2563" w:type="dxa"/>
            <w:tcBorders>
              <w:top w:val="nil"/>
              <w:left w:val="nil"/>
              <w:bottom w:val="nil"/>
              <w:right w:val="nil"/>
            </w:tcBorders>
            <w:vAlign w:val="center"/>
          </w:tcPr>
          <w:p>
            <w:pPr>
              <w:widowControl/>
              <w:jc w:val="center"/>
              <w:rPr>
                <w:rFonts w:ascii="宋体" w:cs="宋体"/>
                <w:kern w:val="0"/>
                <w:sz w:val="24"/>
                <w:highlight w:val="none"/>
              </w:rPr>
            </w:pPr>
          </w:p>
        </w:tc>
        <w:tc>
          <w:tcPr>
            <w:tcW w:w="1756" w:type="dxa"/>
            <w:tcBorders>
              <w:top w:val="nil"/>
              <w:left w:val="nil"/>
              <w:bottom w:val="nil"/>
              <w:right w:val="nil"/>
            </w:tcBorders>
            <w:vAlign w:val="center"/>
          </w:tcPr>
          <w:p>
            <w:pPr>
              <w:widowControl/>
              <w:jc w:val="center"/>
              <w:rPr>
                <w:rFonts w:ascii="宋体" w:cs="宋体"/>
                <w:kern w:val="0"/>
                <w:sz w:val="24"/>
                <w:highlight w:val="none"/>
              </w:rPr>
            </w:pPr>
          </w:p>
        </w:tc>
        <w:tc>
          <w:tcPr>
            <w:tcW w:w="4647" w:type="dxa"/>
            <w:tcBorders>
              <w:top w:val="nil"/>
              <w:left w:val="nil"/>
              <w:bottom w:val="nil"/>
              <w:right w:val="nil"/>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单位：万元</w:t>
            </w:r>
          </w:p>
        </w:tc>
      </w:tr>
      <w:tr>
        <w:tblPrEx>
          <w:tblCellMar>
            <w:top w:w="0" w:type="dxa"/>
            <w:left w:w="108" w:type="dxa"/>
            <w:bottom w:w="0" w:type="dxa"/>
            <w:right w:w="108" w:type="dxa"/>
          </w:tblCellMar>
        </w:tblPrEx>
        <w:trPr>
          <w:trHeight w:val="360" w:hRule="atLeast"/>
        </w:trPr>
        <w:tc>
          <w:tcPr>
            <w:tcW w:w="3190" w:type="dxa"/>
            <w:tcBorders>
              <w:top w:val="nil"/>
              <w:left w:val="nil"/>
              <w:bottom w:val="nil"/>
              <w:right w:val="nil"/>
            </w:tcBorders>
            <w:vAlign w:val="center"/>
          </w:tcPr>
          <w:p>
            <w:pPr>
              <w:widowControl/>
              <w:jc w:val="center"/>
              <w:rPr>
                <w:rFonts w:ascii="宋体" w:cs="宋体"/>
                <w:kern w:val="0"/>
                <w:sz w:val="24"/>
                <w:highlight w:val="none"/>
              </w:rPr>
            </w:pPr>
          </w:p>
        </w:tc>
        <w:tc>
          <w:tcPr>
            <w:tcW w:w="2564" w:type="dxa"/>
            <w:tcBorders>
              <w:top w:val="nil"/>
              <w:left w:val="nil"/>
              <w:bottom w:val="nil"/>
              <w:right w:val="nil"/>
            </w:tcBorders>
            <w:vAlign w:val="center"/>
          </w:tcPr>
          <w:p>
            <w:pPr>
              <w:widowControl/>
              <w:jc w:val="center"/>
              <w:rPr>
                <w:rFonts w:ascii="宋体" w:cs="宋体"/>
                <w:kern w:val="0"/>
                <w:sz w:val="24"/>
                <w:highlight w:val="none"/>
              </w:rPr>
            </w:pPr>
          </w:p>
        </w:tc>
        <w:tc>
          <w:tcPr>
            <w:tcW w:w="2563" w:type="dxa"/>
            <w:tcBorders>
              <w:top w:val="nil"/>
              <w:left w:val="nil"/>
              <w:bottom w:val="nil"/>
              <w:right w:val="nil"/>
            </w:tcBorders>
            <w:vAlign w:val="center"/>
          </w:tcPr>
          <w:p>
            <w:pPr>
              <w:widowControl/>
              <w:jc w:val="center"/>
              <w:rPr>
                <w:rFonts w:ascii="宋体" w:cs="宋体"/>
                <w:kern w:val="0"/>
                <w:sz w:val="24"/>
                <w:highlight w:val="none"/>
              </w:rPr>
            </w:pPr>
          </w:p>
        </w:tc>
        <w:tc>
          <w:tcPr>
            <w:tcW w:w="1756" w:type="dxa"/>
            <w:tcBorders>
              <w:top w:val="nil"/>
              <w:left w:val="nil"/>
              <w:bottom w:val="nil"/>
              <w:right w:val="nil"/>
            </w:tcBorders>
            <w:vAlign w:val="center"/>
          </w:tcPr>
          <w:p>
            <w:pPr>
              <w:widowControl/>
              <w:jc w:val="center"/>
              <w:rPr>
                <w:rFonts w:ascii="宋体" w:cs="宋体"/>
                <w:kern w:val="0"/>
                <w:sz w:val="24"/>
                <w:highlight w:val="none"/>
              </w:rPr>
            </w:pPr>
          </w:p>
        </w:tc>
        <w:tc>
          <w:tcPr>
            <w:tcW w:w="4647" w:type="dxa"/>
            <w:tcBorders>
              <w:top w:val="nil"/>
              <w:left w:val="nil"/>
              <w:bottom w:val="nil"/>
              <w:right w:val="nil"/>
            </w:tcBorders>
            <w:vAlign w:val="center"/>
          </w:tcPr>
          <w:p>
            <w:pPr>
              <w:widowControl/>
              <w:jc w:val="center"/>
              <w:rPr>
                <w:rFonts w:hint="eastAsia" w:ascii="宋体" w:hAnsi="宋体" w:cs="宋体"/>
                <w:kern w:val="0"/>
                <w:sz w:val="24"/>
                <w:highlight w:val="none"/>
              </w:rPr>
            </w:pPr>
          </w:p>
        </w:tc>
      </w:tr>
      <w:tr>
        <w:tblPrEx>
          <w:tblCellMar>
            <w:top w:w="0" w:type="dxa"/>
            <w:left w:w="108" w:type="dxa"/>
            <w:bottom w:w="0" w:type="dxa"/>
            <w:right w:w="108" w:type="dxa"/>
          </w:tblCellMar>
        </w:tblPrEx>
        <w:trPr>
          <w:trHeight w:val="613" w:hRule="atLeast"/>
        </w:trPr>
        <w:tc>
          <w:tcPr>
            <w:tcW w:w="3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25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lang w:val="en-US" w:eastAsia="zh-CN"/>
              </w:rPr>
              <w:t>7</w:t>
            </w:r>
            <w:r>
              <w:rPr>
                <w:rFonts w:hint="eastAsia" w:ascii="宋体" w:hAnsi="宋体" w:cs="宋体"/>
                <w:kern w:val="0"/>
                <w:sz w:val="24"/>
                <w:highlight w:val="none"/>
              </w:rPr>
              <w:t>年度预算</w:t>
            </w:r>
          </w:p>
        </w:tc>
        <w:tc>
          <w:tcPr>
            <w:tcW w:w="256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lang w:val="en-US" w:eastAsia="zh-CN"/>
              </w:rPr>
              <w:t>8</w:t>
            </w:r>
            <w:r>
              <w:rPr>
                <w:rFonts w:hint="eastAsia" w:ascii="宋体" w:hAnsi="宋体" w:cs="宋体"/>
                <w:kern w:val="0"/>
                <w:sz w:val="24"/>
                <w:highlight w:val="none"/>
              </w:rPr>
              <w:t>年度预算</w:t>
            </w: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46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lang w:eastAsia="zh-CN"/>
              </w:rPr>
              <w:t>增减</w:t>
            </w:r>
            <w:r>
              <w:rPr>
                <w:rFonts w:hint="eastAsia" w:ascii="宋体" w:hAnsi="宋体" w:cs="宋体"/>
                <w:kern w:val="0"/>
                <w:sz w:val="24"/>
                <w:highlight w:val="none"/>
              </w:rPr>
              <w:t>变化原因</w:t>
            </w:r>
          </w:p>
        </w:tc>
      </w:tr>
      <w:tr>
        <w:tblPrEx>
          <w:tblCellMar>
            <w:top w:w="0" w:type="dxa"/>
            <w:left w:w="108" w:type="dxa"/>
            <w:bottom w:w="0" w:type="dxa"/>
            <w:right w:w="108" w:type="dxa"/>
          </w:tblCellMar>
        </w:tblPrEx>
        <w:trPr>
          <w:trHeight w:val="613" w:hRule="atLeast"/>
        </w:trPr>
        <w:tc>
          <w:tcPr>
            <w:tcW w:w="319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256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p>
        </w:tc>
        <w:tc>
          <w:tcPr>
            <w:tcW w:w="256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4647"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无增减变化</w:t>
            </w:r>
          </w:p>
        </w:tc>
      </w:tr>
      <w:tr>
        <w:tblPrEx>
          <w:tblCellMar>
            <w:top w:w="0" w:type="dxa"/>
            <w:left w:w="108" w:type="dxa"/>
            <w:bottom w:w="0" w:type="dxa"/>
            <w:right w:w="108" w:type="dxa"/>
          </w:tblCellMar>
        </w:tblPrEx>
        <w:trPr>
          <w:trHeight w:val="613" w:hRule="atLeast"/>
        </w:trPr>
        <w:tc>
          <w:tcPr>
            <w:tcW w:w="319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256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56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4647"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无增减变化</w:t>
            </w:r>
          </w:p>
        </w:tc>
      </w:tr>
      <w:tr>
        <w:tblPrEx>
          <w:tblCellMar>
            <w:top w:w="0" w:type="dxa"/>
            <w:left w:w="108" w:type="dxa"/>
            <w:bottom w:w="0" w:type="dxa"/>
            <w:right w:w="108" w:type="dxa"/>
          </w:tblCellMar>
        </w:tblPrEx>
        <w:trPr>
          <w:trHeight w:val="1091" w:hRule="atLeast"/>
        </w:trPr>
        <w:tc>
          <w:tcPr>
            <w:tcW w:w="319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256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2.8</w:t>
            </w:r>
          </w:p>
        </w:tc>
        <w:tc>
          <w:tcPr>
            <w:tcW w:w="256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3</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0.2</w:t>
            </w:r>
          </w:p>
        </w:tc>
        <w:tc>
          <w:tcPr>
            <w:tcW w:w="4647"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因工作原因，增加公务用车运行经费0.2万元</w:t>
            </w:r>
          </w:p>
        </w:tc>
      </w:tr>
      <w:tr>
        <w:tblPrEx>
          <w:tblCellMar>
            <w:top w:w="0" w:type="dxa"/>
            <w:left w:w="108" w:type="dxa"/>
            <w:bottom w:w="0" w:type="dxa"/>
            <w:right w:w="108" w:type="dxa"/>
          </w:tblCellMar>
        </w:tblPrEx>
        <w:trPr>
          <w:trHeight w:val="613" w:hRule="atLeast"/>
        </w:trPr>
        <w:tc>
          <w:tcPr>
            <w:tcW w:w="319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256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56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4647"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无增减变化</w:t>
            </w:r>
          </w:p>
        </w:tc>
      </w:tr>
      <w:tr>
        <w:tblPrEx>
          <w:tblCellMar>
            <w:top w:w="0" w:type="dxa"/>
            <w:left w:w="108" w:type="dxa"/>
            <w:bottom w:w="0" w:type="dxa"/>
            <w:right w:w="108" w:type="dxa"/>
          </w:tblCellMar>
        </w:tblPrEx>
        <w:trPr>
          <w:trHeight w:val="1102" w:hRule="atLeast"/>
        </w:trPr>
        <w:tc>
          <w:tcPr>
            <w:tcW w:w="319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合计</w:t>
            </w:r>
          </w:p>
        </w:tc>
        <w:tc>
          <w:tcPr>
            <w:tcW w:w="256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2.8</w:t>
            </w:r>
          </w:p>
        </w:tc>
        <w:tc>
          <w:tcPr>
            <w:tcW w:w="256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3</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0.2</w:t>
            </w:r>
          </w:p>
        </w:tc>
        <w:tc>
          <w:tcPr>
            <w:tcW w:w="4647"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因工作原因，增加公务用车运行经费0.2万元</w:t>
            </w:r>
          </w:p>
        </w:tc>
      </w:tr>
    </w:tbl>
    <w:p>
      <w:pPr>
        <w:jc w:val="both"/>
        <w:outlineLvl w:val="0"/>
        <w:rPr>
          <w:rFonts w:hint="eastAsia" w:ascii="黑体" w:hAnsi="黑体" w:eastAsia="黑体"/>
          <w:b/>
          <w:sz w:val="32"/>
          <w:highlight w:val="none"/>
          <w:lang w:eastAsia="zh-CN"/>
        </w:rPr>
      </w:pPr>
      <w:r>
        <w:rPr>
          <w:rFonts w:hint="eastAsia" w:ascii="黑体" w:hAnsi="黑体" w:eastAsia="黑体"/>
          <w:b/>
          <w:sz w:val="32"/>
          <w:highlight w:val="none"/>
          <w:lang w:eastAsia="zh-CN"/>
        </w:rPr>
        <w:t xml:space="preserve"> </w:t>
      </w:r>
      <w:r>
        <w:rPr>
          <w:rFonts w:hint="eastAsia" w:ascii="黑体" w:hAnsi="黑体" w:eastAsia="黑体"/>
          <w:b/>
          <w:sz w:val="32"/>
          <w:highlight w:val="none"/>
          <w:lang w:val="en-US" w:eastAsia="zh-CN"/>
        </w:rPr>
        <w:t xml:space="preserve"> </w:t>
      </w:r>
    </w:p>
    <w:p>
      <w:pPr>
        <w:jc w:val="center"/>
        <w:outlineLvl w:val="0"/>
        <w:rPr>
          <w:rFonts w:hint="eastAsia" w:ascii="黑体" w:hAnsi="黑体" w:eastAsia="黑体"/>
          <w:b/>
          <w:sz w:val="32"/>
          <w:highlight w:val="none"/>
        </w:rPr>
      </w:pPr>
    </w:p>
    <w:p>
      <w:pPr>
        <w:jc w:val="center"/>
        <w:outlineLvl w:val="0"/>
        <w:rPr>
          <w:rFonts w:ascii="宋体"/>
          <w:highlight w:val="none"/>
        </w:rPr>
      </w:pPr>
      <w:r>
        <w:rPr>
          <w:rFonts w:hint="eastAsia" w:ascii="黑体" w:hAnsi="黑体" w:eastAsia="黑体"/>
          <w:b/>
          <w:sz w:val="32"/>
          <w:highlight w:val="none"/>
        </w:rPr>
        <w:t>第五部分：绩效预算信息</w:t>
      </w:r>
    </w:p>
    <w:p>
      <w:pPr>
        <w:numPr>
          <w:ilvl w:val="0"/>
          <w:numId w:val="3"/>
        </w:numPr>
        <w:spacing w:line="500" w:lineRule="exact"/>
        <w:ind w:firstLine="321" w:firstLineChars="100"/>
        <w:rPr>
          <w:rFonts w:hint="eastAsia" w:ascii="黑体" w:hAnsi="黑体" w:eastAsia="黑体"/>
          <w:b/>
          <w:sz w:val="32"/>
          <w:szCs w:val="32"/>
          <w:highlight w:val="none"/>
        </w:rPr>
      </w:pPr>
      <w:r>
        <w:rPr>
          <w:rFonts w:hint="eastAsia" w:ascii="黑体" w:hAnsi="黑体" w:eastAsia="黑体"/>
          <w:b/>
          <w:sz w:val="32"/>
          <w:szCs w:val="32"/>
          <w:highlight w:val="none"/>
        </w:rPr>
        <w:t>总体绩效目标</w:t>
      </w:r>
    </w:p>
    <w:p>
      <w:pPr>
        <w:ind w:left="645"/>
        <w:rPr>
          <w:rFonts w:ascii="仿宋" w:hAnsi="仿宋" w:eastAsia="仿宋"/>
          <w:sz w:val="30"/>
          <w:szCs w:val="30"/>
        </w:rPr>
      </w:pP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w:t>
      </w:r>
      <w:r>
        <w:rPr>
          <w:rFonts w:hint="eastAsia" w:ascii="仿宋" w:hAnsi="仿宋" w:eastAsia="仿宋"/>
          <w:sz w:val="30"/>
          <w:szCs w:val="30"/>
        </w:rPr>
        <w:t>我局在党工委、管委会的正确领导下，紧紧围绕把白沟新城打造成“中国箱包之都”、“国</w:t>
      </w:r>
    </w:p>
    <w:p>
      <w:pPr>
        <w:rPr>
          <w:rFonts w:ascii="仿宋" w:hAnsi="仿宋" w:eastAsia="仿宋"/>
          <w:sz w:val="30"/>
          <w:szCs w:val="30"/>
        </w:rPr>
      </w:pPr>
      <w:r>
        <w:rPr>
          <w:rFonts w:hint="eastAsia" w:ascii="仿宋" w:hAnsi="仿宋" w:eastAsia="仿宋"/>
          <w:sz w:val="30"/>
          <w:szCs w:val="30"/>
        </w:rPr>
        <w:t>际商贸旅游名城”的目标，紧抓京津冀协同发展机遇，积极开展“两学一做”活动</w:t>
      </w:r>
      <w:r>
        <w:rPr>
          <w:rFonts w:hint="eastAsia" w:ascii="仿宋" w:hAnsi="仿宋" w:eastAsia="仿宋" w:cs="仿宋_GB2312"/>
          <w:bCs/>
          <w:sz w:val="30"/>
          <w:szCs w:val="30"/>
        </w:rPr>
        <w:t>，</w:t>
      </w:r>
      <w:r>
        <w:rPr>
          <w:rFonts w:hint="eastAsia" w:ascii="仿宋" w:hAnsi="仿宋" w:eastAsia="仿宋"/>
          <w:sz w:val="30"/>
          <w:szCs w:val="30"/>
        </w:rPr>
        <w:t>进一步提高自身素质，提升服务水平。</w:t>
      </w:r>
    </w:p>
    <w:p>
      <w:pPr>
        <w:ind w:left="645"/>
        <w:rPr>
          <w:rFonts w:hint="eastAsia" w:ascii="仿宋" w:hAnsi="仿宋" w:eastAsia="仿宋"/>
          <w:sz w:val="30"/>
          <w:szCs w:val="30"/>
        </w:rPr>
      </w:pPr>
      <w:r>
        <w:rPr>
          <w:rFonts w:hint="eastAsia" w:ascii="仿宋" w:hAnsi="仿宋" w:eastAsia="仿宋"/>
          <w:sz w:val="30"/>
          <w:szCs w:val="30"/>
        </w:rPr>
        <w:t>1、规范节能审查，深入开展大气污染防治工作、推进重点项目建设，扎实做好项目谋划</w:t>
      </w:r>
    </w:p>
    <w:p>
      <w:pPr>
        <w:ind w:left="645"/>
        <w:rPr>
          <w:rFonts w:hint="eastAsia" w:ascii="仿宋" w:hAnsi="仿宋" w:eastAsia="仿宋"/>
          <w:sz w:val="30"/>
          <w:szCs w:val="30"/>
        </w:rPr>
      </w:pPr>
      <w:r>
        <w:rPr>
          <w:rFonts w:hint="eastAsia" w:ascii="仿宋" w:hAnsi="仿宋" w:eastAsia="仿宋"/>
          <w:sz w:val="30"/>
          <w:szCs w:val="30"/>
        </w:rPr>
        <w:t>煤改气、煤改电工作开展情况；</w:t>
      </w:r>
      <w:r>
        <w:rPr>
          <w:rFonts w:hint="eastAsia" w:ascii="仿宋" w:hAnsi="仿宋" w:eastAsia="仿宋"/>
          <w:sz w:val="30"/>
          <w:szCs w:val="30"/>
          <w:lang w:val="zh-CN"/>
        </w:rPr>
        <w:t>锅炉替代改造；</w:t>
      </w:r>
      <w:r>
        <w:rPr>
          <w:rFonts w:hint="eastAsia" w:ascii="仿宋" w:hAnsi="仿宋" w:eastAsia="仿宋"/>
          <w:sz w:val="30"/>
          <w:szCs w:val="30"/>
        </w:rPr>
        <w:t>节能削煤工作。</w:t>
      </w:r>
    </w:p>
    <w:p>
      <w:pPr>
        <w:ind w:left="645"/>
        <w:rPr>
          <w:rFonts w:hint="eastAsia" w:ascii="仿宋" w:hAnsi="仿宋" w:eastAsia="仿宋"/>
          <w:sz w:val="30"/>
          <w:szCs w:val="30"/>
        </w:rPr>
      </w:pPr>
      <w:r>
        <w:rPr>
          <w:rFonts w:hint="eastAsia" w:ascii="仿宋" w:hAnsi="仿宋" w:eastAsia="仿宋"/>
          <w:sz w:val="30"/>
          <w:szCs w:val="30"/>
        </w:rPr>
        <w:t>2、开展企业经济运行监测工作：</w:t>
      </w:r>
    </w:p>
    <w:p>
      <w:pPr>
        <w:ind w:left="645"/>
        <w:rPr>
          <w:rFonts w:hint="eastAsia" w:ascii="仿宋" w:hAnsi="仿宋" w:eastAsia="仿宋"/>
          <w:sz w:val="30"/>
          <w:szCs w:val="30"/>
        </w:rPr>
      </w:pPr>
      <w:r>
        <w:rPr>
          <w:rFonts w:hint="eastAsia" w:ascii="仿宋" w:hAnsi="仿宋" w:eastAsia="仿宋"/>
          <w:sz w:val="30"/>
          <w:szCs w:val="30"/>
        </w:rPr>
        <w:t>加大对融资担保企业的监管力度，</w:t>
      </w:r>
      <w:r>
        <w:rPr>
          <w:rFonts w:hint="eastAsia" w:ascii="仿宋" w:hAnsi="仿宋" w:eastAsia="仿宋"/>
          <w:sz w:val="30"/>
          <w:szCs w:val="30"/>
          <w:lang w:val="zh-CN"/>
        </w:rPr>
        <w:t>重视科技，助力企业发展。</w:t>
      </w:r>
    </w:p>
    <w:p>
      <w:pPr>
        <w:ind w:left="645"/>
        <w:rPr>
          <w:rFonts w:hint="eastAsia" w:ascii="仿宋" w:hAnsi="仿宋" w:eastAsia="仿宋"/>
          <w:sz w:val="30"/>
          <w:szCs w:val="30"/>
        </w:rPr>
      </w:pPr>
      <w:r>
        <w:rPr>
          <w:rFonts w:hint="eastAsia" w:ascii="仿宋" w:hAnsi="仿宋" w:eastAsia="仿宋"/>
          <w:sz w:val="30"/>
          <w:szCs w:val="30"/>
        </w:rPr>
        <w:t>3、加强管理，促进商务工作有序开展</w:t>
      </w:r>
    </w:p>
    <w:p>
      <w:pPr>
        <w:ind w:left="645"/>
        <w:rPr>
          <w:rFonts w:hint="eastAsia" w:ascii="仿宋" w:hAnsi="仿宋" w:eastAsia="仿宋"/>
          <w:sz w:val="30"/>
          <w:szCs w:val="30"/>
        </w:rPr>
      </w:pPr>
      <w:r>
        <w:rPr>
          <w:rFonts w:hint="eastAsia" w:ascii="仿宋" w:hAnsi="仿宋" w:eastAsia="仿宋"/>
          <w:sz w:val="30"/>
          <w:szCs w:val="30"/>
        </w:rPr>
        <w:t>加强酒类商品流通监管工作；加强成品油市场秩序管理。</w:t>
      </w:r>
    </w:p>
    <w:p>
      <w:pPr>
        <w:ind w:left="645"/>
        <w:rPr>
          <w:rFonts w:hint="eastAsia" w:ascii="仿宋" w:hAnsi="仿宋" w:eastAsia="仿宋"/>
          <w:sz w:val="30"/>
          <w:szCs w:val="30"/>
        </w:rPr>
      </w:pPr>
      <w:r>
        <w:rPr>
          <w:rFonts w:hint="eastAsia" w:ascii="仿宋" w:hAnsi="仿宋" w:eastAsia="仿宋"/>
          <w:sz w:val="30"/>
          <w:szCs w:val="30"/>
        </w:rPr>
        <w:t>4、推动对外贸易工作：</w:t>
      </w:r>
    </w:p>
    <w:p>
      <w:pPr>
        <w:ind w:left="645"/>
        <w:rPr>
          <w:rFonts w:hint="eastAsia" w:ascii="仿宋" w:hAnsi="仿宋" w:eastAsia="仿宋"/>
          <w:sz w:val="30"/>
          <w:szCs w:val="30"/>
        </w:rPr>
      </w:pPr>
      <w:r>
        <w:rPr>
          <w:rFonts w:hint="eastAsia" w:ascii="仿宋" w:hAnsi="仿宋" w:eastAsia="仿宋"/>
          <w:sz w:val="30"/>
          <w:szCs w:val="30"/>
        </w:rPr>
        <w:t>加大贸易转型升级，不断扩大对外贸易工作；市场采购贸易方式试点工作。</w:t>
      </w:r>
    </w:p>
    <w:p>
      <w:pPr>
        <w:ind w:left="645"/>
        <w:rPr>
          <w:rFonts w:hint="eastAsia" w:ascii="仿宋" w:hAnsi="仿宋" w:eastAsia="仿宋"/>
          <w:sz w:val="30"/>
          <w:szCs w:val="30"/>
        </w:rPr>
      </w:pPr>
      <w:r>
        <w:rPr>
          <w:rFonts w:hint="eastAsia" w:ascii="仿宋" w:hAnsi="仿宋" w:eastAsia="仿宋"/>
          <w:sz w:val="30"/>
          <w:szCs w:val="30"/>
        </w:rPr>
        <w:t>5、加大招商引资力度。</w:t>
      </w:r>
    </w:p>
    <w:p>
      <w:pPr>
        <w:ind w:left="645"/>
        <w:rPr>
          <w:rFonts w:hint="eastAsia" w:ascii="仿宋" w:hAnsi="仿宋" w:eastAsia="仿宋"/>
          <w:sz w:val="30"/>
          <w:szCs w:val="30"/>
        </w:rPr>
      </w:pPr>
      <w:r>
        <w:rPr>
          <w:rFonts w:hint="eastAsia" w:ascii="仿宋" w:hAnsi="仿宋" w:eastAsia="仿宋"/>
          <w:sz w:val="30"/>
          <w:szCs w:val="30"/>
        </w:rPr>
        <w:t>借助京津冀协同发展机遇，加大招商引资力度，推动商贸基础建设。抢抓北京市场外迁、产业外溢的机会，深入调研，积极对接。</w:t>
      </w:r>
    </w:p>
    <w:p>
      <w:pPr>
        <w:ind w:left="645"/>
        <w:rPr>
          <w:rFonts w:hint="eastAsia" w:ascii="仿宋" w:hAnsi="仿宋" w:eastAsia="仿宋"/>
          <w:sz w:val="30"/>
          <w:szCs w:val="30"/>
        </w:rPr>
      </w:pPr>
      <w:r>
        <w:rPr>
          <w:rFonts w:hint="eastAsia" w:ascii="仿宋" w:hAnsi="仿宋" w:eastAsia="仿宋"/>
          <w:sz w:val="30"/>
          <w:szCs w:val="30"/>
        </w:rPr>
        <w:t>6、提升业务素质，发挥统计职能，提高统计工作水平：</w:t>
      </w:r>
    </w:p>
    <w:p>
      <w:pPr>
        <w:ind w:left="645"/>
        <w:rPr>
          <w:rFonts w:hint="eastAsia" w:ascii="仿宋" w:hAnsi="仿宋" w:eastAsia="仿宋"/>
          <w:sz w:val="30"/>
          <w:szCs w:val="30"/>
        </w:rPr>
      </w:pPr>
      <w:r>
        <w:rPr>
          <w:rFonts w:hint="eastAsia" w:ascii="仿宋" w:hAnsi="仿宋" w:eastAsia="仿宋"/>
          <w:sz w:val="30"/>
          <w:szCs w:val="30"/>
        </w:rPr>
        <w:t>坚持以人为本，狠抓队伍素质建设；各专业工作有序进行。</w:t>
      </w:r>
    </w:p>
    <w:p>
      <w:pPr>
        <w:ind w:left="645"/>
        <w:rPr>
          <w:rFonts w:hint="eastAsia" w:ascii="仿宋" w:hAnsi="仿宋" w:eastAsia="仿宋"/>
          <w:sz w:val="30"/>
          <w:szCs w:val="30"/>
        </w:rPr>
      </w:pPr>
      <w:r>
        <w:rPr>
          <w:rFonts w:hint="eastAsia" w:ascii="仿宋" w:hAnsi="仿宋" w:eastAsia="仿宋"/>
          <w:sz w:val="30"/>
          <w:szCs w:val="30"/>
        </w:rPr>
        <w:t>7、加快推进旅游业发展，增强旅游发展带动力</w:t>
      </w:r>
    </w:p>
    <w:p>
      <w:pPr>
        <w:ind w:left="645"/>
        <w:rPr>
          <w:rFonts w:hint="eastAsia" w:ascii="仿宋" w:hAnsi="仿宋" w:eastAsia="仿宋"/>
          <w:sz w:val="30"/>
          <w:szCs w:val="30"/>
        </w:rPr>
      </w:pPr>
      <w:r>
        <w:rPr>
          <w:rFonts w:hint="eastAsia" w:ascii="仿宋" w:hAnsi="仿宋" w:eastAsia="仿宋"/>
          <w:sz w:val="30"/>
          <w:szCs w:val="30"/>
        </w:rPr>
        <w:t>重大旅游建设项目稳步推进；持续开展宣传报道，在市场开拓上实现新扩张。</w:t>
      </w:r>
    </w:p>
    <w:p>
      <w:pPr>
        <w:ind w:left="645"/>
        <w:rPr>
          <w:rFonts w:hint="eastAsia" w:ascii="仿宋" w:hAnsi="仿宋" w:eastAsia="仿宋"/>
          <w:sz w:val="30"/>
          <w:szCs w:val="30"/>
        </w:rPr>
      </w:pPr>
      <w:r>
        <w:rPr>
          <w:rFonts w:hint="eastAsia" w:ascii="仿宋" w:hAnsi="仿宋" w:eastAsia="仿宋"/>
          <w:sz w:val="30"/>
          <w:szCs w:val="30"/>
        </w:rPr>
        <w:t>8、围绕京津冀协同发展，做好我区宣传报道工作</w:t>
      </w:r>
    </w:p>
    <w:p>
      <w:pPr>
        <w:ind w:left="645"/>
        <w:rPr>
          <w:rFonts w:hint="eastAsia" w:ascii="仿宋" w:hAnsi="仿宋" w:eastAsia="仿宋"/>
          <w:sz w:val="30"/>
          <w:szCs w:val="30"/>
        </w:rPr>
      </w:pPr>
      <w:r>
        <w:rPr>
          <w:rFonts w:hint="eastAsia" w:ascii="仿宋" w:hAnsi="仿宋" w:eastAsia="仿宋"/>
          <w:sz w:val="30"/>
          <w:szCs w:val="30"/>
        </w:rPr>
        <w:t>9、围绕“大保定”建设，成国家下达的广播电视直播卫星户户通工程、农村电影工作、县城数字影院升级改造、农家书屋建设、全民阅读活动、老放映员生活补助以及应急广播体系建设等任务目标。</w:t>
      </w:r>
    </w:p>
    <w:p>
      <w:pPr>
        <w:ind w:left="645"/>
        <w:rPr>
          <w:rFonts w:hint="eastAsia" w:ascii="仿宋" w:hAnsi="仿宋" w:eastAsia="仿宋"/>
          <w:sz w:val="30"/>
          <w:szCs w:val="30"/>
        </w:rPr>
      </w:pPr>
      <w:r>
        <w:rPr>
          <w:rFonts w:hint="eastAsia" w:ascii="仿宋" w:hAnsi="仿宋" w:eastAsia="仿宋"/>
          <w:sz w:val="30"/>
          <w:szCs w:val="30"/>
        </w:rPr>
        <w:t>10、围绕新型城镇化要求，全力争创全国文明城市工作。</w:t>
      </w:r>
    </w:p>
    <w:p>
      <w:pPr>
        <w:ind w:left="645"/>
        <w:rPr>
          <w:rFonts w:hint="eastAsia" w:ascii="仿宋" w:hAnsi="仿宋" w:eastAsia="仿宋"/>
          <w:sz w:val="30"/>
          <w:szCs w:val="30"/>
        </w:rPr>
      </w:pPr>
      <w:r>
        <w:rPr>
          <w:rFonts w:hint="eastAsia" w:ascii="仿宋" w:hAnsi="仿宋" w:eastAsia="仿宋"/>
          <w:sz w:val="30"/>
          <w:szCs w:val="30"/>
        </w:rPr>
        <w:t>11、深入开展文化市场稳步推进工</w:t>
      </w:r>
    </w:p>
    <w:p>
      <w:pPr>
        <w:ind w:left="645"/>
        <w:rPr>
          <w:rFonts w:hint="eastAsia" w:ascii="仿宋" w:hAnsi="仿宋" w:eastAsia="仿宋"/>
          <w:sz w:val="30"/>
          <w:szCs w:val="30"/>
        </w:rPr>
      </w:pPr>
      <w:r>
        <w:rPr>
          <w:rFonts w:hint="eastAsia" w:ascii="仿宋" w:hAnsi="仿宋" w:eastAsia="仿宋"/>
          <w:sz w:val="30"/>
          <w:szCs w:val="30"/>
        </w:rPr>
        <w:t>发展农村体育事业，全力建设全</w:t>
      </w:r>
      <w:r>
        <w:rPr>
          <w:rFonts w:hint="eastAsia" w:ascii="仿宋" w:hAnsi="仿宋" w:eastAsia="仿宋"/>
          <w:sz w:val="30"/>
          <w:szCs w:val="30"/>
          <w:lang w:val="en-US" w:eastAsia="zh-CN"/>
        </w:rPr>
        <w:t>民</w:t>
      </w:r>
      <w:r>
        <w:rPr>
          <w:rFonts w:hint="eastAsia" w:ascii="仿宋" w:hAnsi="仿宋" w:eastAsia="仿宋"/>
          <w:sz w:val="30"/>
          <w:szCs w:val="30"/>
        </w:rPr>
        <w:t>健身广场惠及到村街工作</w:t>
      </w:r>
    </w:p>
    <w:p>
      <w:pPr>
        <w:ind w:left="645"/>
        <w:rPr>
          <w:rFonts w:hint="eastAsia" w:ascii="仿宋" w:hAnsi="仿宋" w:eastAsia="仿宋"/>
          <w:sz w:val="30"/>
          <w:szCs w:val="30"/>
        </w:rPr>
      </w:pPr>
      <w:r>
        <w:rPr>
          <w:rFonts w:hint="eastAsia" w:ascii="仿宋" w:hAnsi="仿宋" w:eastAsia="仿宋"/>
          <w:sz w:val="30"/>
          <w:szCs w:val="30"/>
        </w:rPr>
        <w:t>督促规划展览馆建设和布展工作</w:t>
      </w:r>
    </w:p>
    <w:p>
      <w:pPr>
        <w:ind w:left="645"/>
        <w:rPr>
          <w:rFonts w:hint="eastAsia" w:ascii="仿宋" w:hAnsi="仿宋" w:eastAsia="仿宋"/>
          <w:sz w:val="30"/>
          <w:szCs w:val="30"/>
        </w:rPr>
      </w:pPr>
      <w:r>
        <w:rPr>
          <w:rFonts w:hint="eastAsia" w:ascii="仿宋" w:hAnsi="仿宋" w:eastAsia="仿宋"/>
          <w:sz w:val="30"/>
          <w:szCs w:val="30"/>
        </w:rPr>
        <w:t xml:space="preserve"> 做好安全保卫、消防、停车场管理、卫生等各项日常工作。</w:t>
      </w:r>
    </w:p>
    <w:p>
      <w:pPr>
        <w:ind w:left="645"/>
        <w:rPr>
          <w:rFonts w:hint="eastAsia" w:ascii="仿宋" w:hAnsi="仿宋" w:eastAsia="仿宋"/>
          <w:sz w:val="30"/>
          <w:szCs w:val="30"/>
        </w:rPr>
      </w:pPr>
      <w:r>
        <w:rPr>
          <w:rFonts w:hint="eastAsia" w:ascii="仿宋" w:hAnsi="仿宋" w:eastAsia="仿宋"/>
          <w:sz w:val="30"/>
          <w:szCs w:val="30"/>
        </w:rPr>
        <w:t>推进对接津京冀工作。完善市场基础设施，为疏解到白沟的商户提供良好的经营环境和优</w:t>
      </w:r>
    </w:p>
    <w:p>
      <w:pPr>
        <w:ind w:left="645"/>
        <w:rPr>
          <w:rFonts w:hint="eastAsia" w:ascii="仿宋" w:hAnsi="仿宋" w:eastAsia="仿宋"/>
          <w:sz w:val="30"/>
          <w:szCs w:val="30"/>
        </w:rPr>
      </w:pPr>
      <w:r>
        <w:rPr>
          <w:rFonts w:hint="eastAsia" w:ascii="仿宋" w:hAnsi="仿宋" w:eastAsia="仿宋"/>
          <w:sz w:val="30"/>
          <w:szCs w:val="30"/>
        </w:rPr>
        <w:t>质服务</w:t>
      </w:r>
    </w:p>
    <w:p>
      <w:pPr>
        <w:ind w:left="645"/>
        <w:rPr>
          <w:rFonts w:hint="eastAsia" w:ascii="仿宋" w:hAnsi="仿宋" w:eastAsia="仿宋"/>
          <w:sz w:val="30"/>
          <w:szCs w:val="30"/>
        </w:rPr>
      </w:pPr>
      <w:r>
        <w:rPr>
          <w:rFonts w:hint="eastAsia" w:ascii="仿宋" w:hAnsi="仿宋" w:eastAsia="仿宋"/>
          <w:sz w:val="30"/>
          <w:szCs w:val="30"/>
        </w:rPr>
        <w:t>推动市场采购贸易试点工作。学习借鉴义务等南方先进市场的发展经验，引进新的管理理</w:t>
      </w:r>
    </w:p>
    <w:p>
      <w:pPr>
        <w:ind w:left="645"/>
        <w:rPr>
          <w:rFonts w:hint="eastAsia" w:ascii="仿宋" w:hAnsi="仿宋" w:eastAsia="仿宋"/>
          <w:sz w:val="30"/>
          <w:szCs w:val="30"/>
        </w:rPr>
      </w:pPr>
      <w:r>
        <w:rPr>
          <w:rFonts w:hint="eastAsia" w:ascii="仿宋" w:hAnsi="仿宋" w:eastAsia="仿宋"/>
          <w:sz w:val="30"/>
          <w:szCs w:val="30"/>
        </w:rPr>
        <w:t>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pPr>
        <w:numPr>
          <w:ilvl w:val="0"/>
          <w:numId w:val="0"/>
        </w:numPr>
        <w:spacing w:line="500" w:lineRule="exact"/>
        <w:rPr>
          <w:rFonts w:hint="eastAsia" w:ascii="黑体" w:hAnsi="黑体" w:eastAsia="黑体"/>
          <w:b/>
          <w:sz w:val="32"/>
          <w:szCs w:val="32"/>
          <w:highlight w:val="none"/>
        </w:rPr>
      </w:pPr>
    </w:p>
    <w:p>
      <w:pPr>
        <w:spacing w:line="520" w:lineRule="exact"/>
        <w:ind w:firstLine="321" w:firstLineChars="100"/>
        <w:jc w:val="left"/>
        <w:rPr>
          <w:rFonts w:hint="eastAsia" w:ascii="黑体" w:hAnsi="黑体" w:eastAsia="黑体"/>
          <w:b/>
          <w:sz w:val="32"/>
          <w:szCs w:val="32"/>
          <w:highlight w:val="none"/>
        </w:rPr>
      </w:pPr>
      <w:r>
        <w:rPr>
          <w:rFonts w:hint="eastAsia" w:ascii="黑体" w:hAnsi="黑体" w:eastAsia="黑体"/>
          <w:b/>
          <w:sz w:val="32"/>
          <w:szCs w:val="32"/>
          <w:highlight w:val="none"/>
          <w:lang w:val="en-US" w:eastAsia="zh-CN"/>
        </w:rPr>
        <w:t>二、</w:t>
      </w:r>
      <w:r>
        <w:rPr>
          <w:rFonts w:hint="eastAsia" w:ascii="黑体" w:hAnsi="黑体" w:eastAsia="黑体"/>
          <w:b/>
          <w:sz w:val="32"/>
          <w:szCs w:val="32"/>
          <w:highlight w:val="none"/>
        </w:rPr>
        <w:t>部门职责-工作活动绩效目标</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5"/>
        <w:gridCol w:w="1000"/>
        <w:gridCol w:w="5169"/>
        <w:gridCol w:w="1815"/>
        <w:gridCol w:w="1575"/>
        <w:gridCol w:w="1065"/>
        <w:gridCol w:w="555"/>
        <w:gridCol w:w="225"/>
        <w:gridCol w:w="735"/>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88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kern w:val="0"/>
                <w:szCs w:val="21"/>
                <w:highlight w:val="none"/>
              </w:rPr>
            </w:pPr>
          </w:p>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职责活动</w:t>
            </w:r>
          </w:p>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00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kern w:val="0"/>
                <w:szCs w:val="21"/>
                <w:highlight w:val="none"/>
              </w:rPr>
            </w:pPr>
          </w:p>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年度预算数</w:t>
            </w:r>
          </w:p>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169"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kern w:val="0"/>
                <w:szCs w:val="21"/>
                <w:highlight w:val="none"/>
              </w:rPr>
            </w:pPr>
          </w:p>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内容描述</w:t>
            </w:r>
          </w:p>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81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b/>
                <w:color w:val="000000"/>
                <w:kern w:val="0"/>
                <w:szCs w:val="21"/>
                <w:highlight w:val="none"/>
              </w:rPr>
              <w:t>绩效目标</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kern w:val="0"/>
                <w:szCs w:val="21"/>
                <w:highlight w:val="none"/>
              </w:rPr>
            </w:pPr>
          </w:p>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绩效指标</w:t>
            </w:r>
          </w:p>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35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b/>
                <w:color w:val="000000"/>
                <w:kern w:val="0"/>
                <w:szCs w:val="21"/>
                <w:highlight w:val="none"/>
              </w:rPr>
              <w:t>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8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00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16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81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优</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良</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中</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统计政务管理</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55.76</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保障机关正常运转；承办县政府交办的其他事项。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保障机关日常运转，开展纪检监察、计财内审、人事管理、老干部管理、党建、后勤、行政许可事务性管理等工作。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保障机关正常运转。</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80%-89%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0" w:hRule="atLeast"/>
        </w:trPr>
        <w:tc>
          <w:tcPr>
            <w:tcW w:w="885" w:type="dxa"/>
            <w:tcBorders>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物价政务管理</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8</w:t>
            </w:r>
          </w:p>
        </w:tc>
        <w:tc>
          <w:tcPr>
            <w:tcW w:w="5169" w:type="dxa"/>
            <w:tcBorders>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完善制度保障，打造廉洁高效的价格政务服务环境。</w:t>
            </w:r>
          </w:p>
        </w:tc>
        <w:tc>
          <w:tcPr>
            <w:tcW w:w="181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提高行政效率和服务质量</w:t>
            </w:r>
          </w:p>
        </w:tc>
        <w:tc>
          <w:tcPr>
            <w:tcW w:w="15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按照法定和承诺时限完成办理时间、办理程序</w:t>
            </w:r>
          </w:p>
        </w:tc>
        <w:tc>
          <w:tcPr>
            <w:tcW w:w="106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95%及以上</w:t>
            </w:r>
          </w:p>
        </w:tc>
        <w:tc>
          <w:tcPr>
            <w:tcW w:w="78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90%及以上</w:t>
            </w:r>
          </w:p>
        </w:tc>
        <w:tc>
          <w:tcPr>
            <w:tcW w:w="73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80%及以上</w:t>
            </w:r>
          </w:p>
        </w:tc>
        <w:tc>
          <w:tcPr>
            <w:tcW w:w="96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85" w:type="dxa"/>
            <w:vMerge w:val="restart"/>
            <w:tcBorders>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政府办公室政务管理</w:t>
            </w:r>
          </w:p>
        </w:tc>
        <w:tc>
          <w:tcPr>
            <w:tcW w:w="100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10</w:t>
            </w:r>
          </w:p>
        </w:tc>
        <w:tc>
          <w:tcPr>
            <w:tcW w:w="5169" w:type="dxa"/>
            <w:vMerge w:val="restart"/>
            <w:tcBorders>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机关日常事务管理；机关办公区物业管理；机关车辆日常管理，确保行车安全</w:t>
            </w:r>
          </w:p>
        </w:tc>
        <w:tc>
          <w:tcPr>
            <w:tcW w:w="1815" w:type="dxa"/>
            <w:vMerge w:val="restart"/>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确保机关各项工作正常运转</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反映保障单位正常运转情况</w:t>
            </w:r>
          </w:p>
        </w:tc>
        <w:tc>
          <w:tcPr>
            <w:tcW w:w="1065"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100%</w:t>
            </w:r>
          </w:p>
        </w:tc>
        <w:tc>
          <w:tcPr>
            <w:tcW w:w="78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90%-99%</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80%-89%</w:t>
            </w:r>
          </w:p>
        </w:tc>
        <w:tc>
          <w:tcPr>
            <w:tcW w:w="9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trPr>
        <w:tc>
          <w:tcPr>
            <w:tcW w:w="885" w:type="dxa"/>
            <w:vMerge w:val="continue"/>
            <w:tcBorders>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000"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sz w:val="18"/>
                <w:szCs w:val="18"/>
                <w:highlight w:val="none"/>
                <w:u w:val="none"/>
                <w:lang w:val="en-US" w:eastAsia="zh-CN"/>
              </w:rPr>
            </w:pPr>
          </w:p>
        </w:tc>
        <w:tc>
          <w:tcPr>
            <w:tcW w:w="5169" w:type="dxa"/>
            <w:vMerge w:val="continue"/>
            <w:tcBorders>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815"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57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p>
        </w:tc>
        <w:tc>
          <w:tcPr>
            <w:tcW w:w="1065" w:type="dxa"/>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780" w:type="dxa"/>
            <w:gridSpan w:val="2"/>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73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964"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8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推进全市产业结构调整和转型升级</w:t>
            </w:r>
          </w:p>
        </w:tc>
        <w:tc>
          <w:tcPr>
            <w:tcW w:w="1000" w:type="dxa"/>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2625</w:t>
            </w:r>
          </w:p>
        </w:tc>
        <w:tc>
          <w:tcPr>
            <w:tcW w:w="5169"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组织实施综合性产业政策，负责协调全市第一、二、三产业发展的重大问题并衔接平衡相关发展规划和重大政策，推进经济结构战略性调整。按照经济和社会发展要求，引导产业升级和转型，支持重点领域和行业建设。</w:t>
            </w:r>
          </w:p>
        </w:tc>
        <w:tc>
          <w:tcPr>
            <w:tcW w:w="181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发挥专项资金的引导和激励的作用，通过采取补助、奖励等方式调动企业节能降耗的积极性，确保完成节能、削煤、降碳目标任务；电能使用效率不断提高；积极助推节能减排和大气污染防治；确保实现年度单位GDP能耗下降率</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节能量</w:t>
            </w:r>
          </w:p>
        </w:tc>
        <w:tc>
          <w:tcPr>
            <w:tcW w:w="106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80"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95-100%</w:t>
            </w:r>
          </w:p>
        </w:tc>
        <w:tc>
          <w:tcPr>
            <w:tcW w:w="73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90-95%</w:t>
            </w:r>
          </w:p>
        </w:tc>
        <w:tc>
          <w:tcPr>
            <w:tcW w:w="96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支持新型工业化发展</w:t>
            </w:r>
          </w:p>
        </w:tc>
        <w:tc>
          <w:tcPr>
            <w:tcW w:w="100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200</w:t>
            </w:r>
          </w:p>
        </w:tc>
        <w:tc>
          <w:tcPr>
            <w:tcW w:w="5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拟订并组织实施全市工业能源节约和资源综合利用、清洁生产促进政策，指导企业节能管理，组织节能减排新产品、新技术、新设备、新材料的推广应用。组织实施工业“三废”资源综合利用项目管理。</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节能环保</w:t>
            </w:r>
          </w:p>
        </w:tc>
        <w:tc>
          <w:tcPr>
            <w:tcW w:w="106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80" w:type="dxa"/>
            <w:gridSpan w:val="2"/>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95-100%</w:t>
            </w:r>
          </w:p>
        </w:tc>
        <w:tc>
          <w:tcPr>
            <w:tcW w:w="73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90-95%</w:t>
            </w:r>
          </w:p>
        </w:tc>
        <w:tc>
          <w:tcPr>
            <w:tcW w:w="96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00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5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p>
        </w:tc>
        <w:tc>
          <w:tcPr>
            <w:tcW w:w="106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780" w:type="dxa"/>
            <w:gridSpan w:val="2"/>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73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96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统计调查</w:t>
            </w:r>
          </w:p>
        </w:tc>
        <w:tc>
          <w:tcPr>
            <w:tcW w:w="100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136.2</w:t>
            </w:r>
          </w:p>
        </w:tc>
        <w:tc>
          <w:tcPr>
            <w:tcW w:w="5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组织国情国力普查和工业、农业、社会、教育、节能、卫生等涉及相关行业的专项统计调查监测，收集、整理统计数据，提供咨询建议</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按照国家统计局、财政部关于印发《关于统计部门周期性普查和大型调查经费开支问题的暂行规定》，分年度完成普查工作，确保普查的顺利完成。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国情国力普查</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全部完成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基本完成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8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00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5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 xml:space="preserve">组织开展专项统计调查工作，了解基层情况和动态提供统计信息和咨询建议。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专项统计调查</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完成并上报</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基本完成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推进信息化建设</w:t>
            </w:r>
          </w:p>
        </w:tc>
        <w:tc>
          <w:tcPr>
            <w:tcW w:w="100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209</w:t>
            </w:r>
          </w:p>
        </w:tc>
        <w:tc>
          <w:tcPr>
            <w:tcW w:w="5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推进信息化和工业化融合，指导协调电子政务发展，促进“三网”（电信、广播电视和计算机网络）融合、信息消费和物联网发展，维护网络与信息安全。推动全县软件业、信息服务业发展。</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提高全县政务信息化水平，提升信息资源利用水平。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信息化项目审核率，平台建设完成率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90-80%(含</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80-60%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00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5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示范试点建设数量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≥25个</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24-20个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19-15个</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促进中小企业和民营经济发展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500</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加强对中小微企业和民营经济的宏观指导、综合协调，优化发展环境，激活市场主体，破解要素制约，强化公共服务，加强督导、检查和考核，提高民营经济和中小微企业发展质量和水平。</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方正书宋_GBK" w:eastAsia="方正书宋_GBK"/>
                <w:highlight w:val="none"/>
              </w:rPr>
              <w:t>推动中小微企业和民营经济持续、健康发展。</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方正书宋_GBK" w:eastAsia="方正书宋_GBK"/>
                <w:highlight w:val="none"/>
              </w:rPr>
              <w:t>建立健全民营经济运行统计和监测分析体系；加强规划引导，促进中小企业、民营经济健康发展。中小企业监测体系监测点实际上报数/中小企业监测体系监测点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宋体" w:hAnsi="宋体" w:eastAsia="宋体" w:cs="宋体"/>
                <w:i w:val="0"/>
                <w:color w:val="000000"/>
                <w:sz w:val="18"/>
                <w:szCs w:val="18"/>
                <w:highlight w:val="none"/>
                <w:u w:val="none"/>
              </w:rPr>
            </w:pPr>
            <w:r>
              <w:rPr>
                <w:rFonts w:hint="eastAsia" w:ascii="方正书宋_GBK" w:eastAsia="方正书宋_GBK"/>
                <w:highlight w:val="none"/>
              </w:rPr>
              <w:t>≥90%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宋体" w:hAnsi="宋体" w:eastAsia="宋体" w:cs="宋体"/>
                <w:i w:val="0"/>
                <w:color w:val="000000"/>
                <w:sz w:val="18"/>
                <w:szCs w:val="18"/>
                <w:highlight w:val="none"/>
                <w:u w:val="none"/>
              </w:rPr>
            </w:pPr>
            <w:r>
              <w:rPr>
                <w:rFonts w:hint="eastAsia" w:ascii="方正书宋_GBK" w:eastAsia="方正书宋_GBK"/>
                <w:highlight w:val="none"/>
              </w:rPr>
              <w:t>90-85%（含）</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宋体" w:hAnsi="宋体" w:eastAsia="宋体" w:cs="宋体"/>
                <w:i w:val="0"/>
                <w:color w:val="000000"/>
                <w:sz w:val="18"/>
                <w:szCs w:val="18"/>
                <w:highlight w:val="none"/>
                <w:u w:val="none"/>
              </w:rPr>
            </w:pPr>
            <w:r>
              <w:rPr>
                <w:rFonts w:ascii="方正书宋_GBK" w:eastAsia="方正书宋_GBK"/>
                <w:highlight w:val="none"/>
              </w:rPr>
              <w:t>85-80%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宋体" w:hAnsi="宋体" w:eastAsia="宋体" w:cs="宋体"/>
                <w:i w:val="0"/>
                <w:color w:val="000000"/>
                <w:sz w:val="18"/>
                <w:szCs w:val="18"/>
                <w:highlight w:val="none"/>
                <w:u w:val="none"/>
              </w:rPr>
            </w:pPr>
            <w:r>
              <w:rPr>
                <w:rFonts w:hint="eastAsia" w:ascii="方正书宋_GBK" w:eastAsia="方正书宋_GBK"/>
                <w:highlight w:val="no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对内商贸管理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30</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组织县级企业参加商务部组织的商贸洽谈活动。</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开拓国内市场</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推进我县商贸企业工贸、农贸和内外贸结合，扩大我县产品的知名度，增加国内市场份额</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80%及以上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70%及以上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70%以下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对外贸易管理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3553</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组织实施投资贸易洽谈会等活动。组织县级企业走出去，开展贸易洽谈、招商合作等活动，促进贸易往来。</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创新外贸发展模式，提高外贸发展质量，促进外贸发展方式转变</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1、外贸综合服务企业出口额2、外贸基地出口全市占比提高率3、对新兴市场出口占比提高率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10%及以上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8%及以上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旅游宣传及信息化建设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50</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开展旅游政务宣传、形象宣传、网络宣传，投放旅游广告、组织重点旅游线路和旅游目的地的宣传推广，旅游宣传品的设计、制作；开展新闻媒体记者采访考察工作</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项目实施有效提升县旅游的知名度、吸引力，扩大县旅游品牌形象的影响力，吸引更多游客来县旅游观光。</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游客增长率,旅游收入增长率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15%及以上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13%及以上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11%及以上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11%以下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旅游政务管理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20</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保障机关正常运转；承办县政府交办的其他事项</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圆满完成县政府交办的各类事项。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综合事务保障率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95%及以上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85%及以上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18"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促进全市区域经济发展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85</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发展和改革政务管理、保障发展改革一般性日常业务开展和机关事务的基本运转。综合业务管理</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与北京、天津开展战略合作，推动合作协议的落实，深化拓展合作领域，实质性推动一批重大合作事项进展。</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与京冀对接活动的组织及项目组织、督导、调研情况、合作对接活动组织情况，调研督导合作协议落实、合作项目进展情况</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4次以上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2次</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固定资产投资调控与管理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50</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拟订社会固定资产投资总规模和投资结构的调控目标、政策及措施，衔接政府投资和重大建设项目的专项规划；按规定权限审批、核准、审核重大建设项目，提出国家和市预算内基建建设项目安排建议；指导和监督政策性贷款的使用发现，引导民间资金用于固定资产投资的方向；组织开展重点建设项目稽察；指导工程咨询业发展，参与管理与投资建设有关的标准定额，化工、煤炭建设项目工程质量监督管理。</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加强重点项目谋划、协调、督导，推动重点项目顺利实施。加强项目监管，保证建设项目工程质量和建设资金安全及有效使用，维护国家和社会公共利益。处罚项目建设中重大突出违法问题</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对符合要求的政府投资项目和企业投资核准项目进行风险稳定评估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95-100%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90-95%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组织编制经济社会发展规划和计划</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5</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组织拟订全市经济社会发展战略（中长期）规划、年度计划及重点领域、区域经济的规划；参与国民经济和社会发展有关地方性法规、规章的起草和组织实施。</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确保重点领域和区域经济社会规划与国民经济和社会发展规划、计划的衔接和协调</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6"/>
                <w:szCs w:val="16"/>
                <w:highlight w:val="none"/>
                <w:u w:val="none"/>
                <w:lang w:val="en-US" w:eastAsia="zh-CN" w:bidi="ar"/>
              </w:rPr>
              <w:t>成功组织实施我区重点项目观摩活动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发展和改革政务管理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5</w:t>
            </w: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6"/>
                <w:szCs w:val="16"/>
                <w:highlight w:val="none"/>
                <w:u w:val="none"/>
                <w:lang w:val="en-US" w:eastAsia="zh-CN" w:bidi="ar"/>
              </w:rPr>
              <w:t>配合保定市发改委开展信用体系建设工作及平台管理工作</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保障发展改革工作正常开展</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6"/>
                <w:szCs w:val="16"/>
                <w:highlight w:val="none"/>
                <w:u w:val="none"/>
                <w:lang w:val="en-US" w:eastAsia="zh-CN" w:bidi="ar"/>
              </w:rPr>
              <w:t>做好我区虚拟平台维护工作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90-100%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80-90%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思想理论建设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3</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深入实施马克思主义理论研究和建设工程，深化中国特色社会主义和中国梦研究；深入学习宣传习近平总书记系列重要讲话；广泛开展理论宣传活动。</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提升理论研究水平，为全县经济社会发展提供理论支持；提高干部群众运用科学理论解决实际问题能力；增强广大干部群众理论自信、道路自信、制度自信，不断巩固全县人民团结奋斗的共同思想基础。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党员干部学习</w:t>
            </w:r>
            <w:r>
              <w:rPr>
                <w:rFonts w:hint="eastAsia" w:ascii="宋体" w:hAnsi="宋体" w:cs="宋体"/>
                <w:i w:val="0"/>
                <w:color w:val="000000"/>
                <w:kern w:val="0"/>
                <w:sz w:val="18"/>
                <w:szCs w:val="18"/>
                <w:highlight w:val="none"/>
                <w:u w:val="none"/>
                <w:lang w:val="en-US" w:eastAsia="zh-CN" w:bidi="ar"/>
              </w:rPr>
              <w:t>党的</w:t>
            </w:r>
            <w:r>
              <w:rPr>
                <w:rFonts w:hint="eastAsia" w:ascii="宋体" w:hAnsi="宋体" w:eastAsia="宋体" w:cs="宋体"/>
                <w:i w:val="0"/>
                <w:color w:val="000000"/>
                <w:kern w:val="0"/>
                <w:sz w:val="18"/>
                <w:szCs w:val="18"/>
                <w:highlight w:val="none"/>
                <w:u w:val="none"/>
                <w:lang w:val="en-US" w:eastAsia="zh-CN" w:bidi="ar"/>
              </w:rPr>
              <w:t>十九大精神，总书记系列重要讲话精神成果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深刻理解内涵，紧紧抓住实质，真正做到武装头脑、指导实践、锤炼党性</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较为深刻的理解内涵，能够抓住核心，基本能够做到武装头脑、指导实践、锤炼党性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能够了解总书记系列重要讲话精神，基本理解重要讲话精神内涵</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基本不了解总书记系列重要讲话精神，不理解重要讲话精神内涵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对外宣传工作</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476</w:t>
            </w:r>
          </w:p>
        </w:tc>
        <w:tc>
          <w:tcPr>
            <w:tcW w:w="5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加强和改进新闻发布工作，扩大对外宣传，开展多种形式的文化交流活动。</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充分展示我区良好形象，不</w:t>
            </w:r>
            <w:bookmarkStart w:id="0" w:name="_GoBack"/>
            <w:bookmarkEnd w:id="0"/>
            <w:r>
              <w:rPr>
                <w:rFonts w:hint="eastAsia" w:ascii="宋体" w:hAnsi="宋体" w:eastAsia="宋体" w:cs="宋体"/>
                <w:i w:val="0"/>
                <w:color w:val="000000"/>
                <w:kern w:val="0"/>
                <w:sz w:val="18"/>
                <w:szCs w:val="18"/>
                <w:highlight w:val="none"/>
                <w:u w:val="none"/>
                <w:lang w:val="en-US" w:eastAsia="zh-CN" w:bidi="ar"/>
              </w:rPr>
              <w:t>断提高我区知名度、美誉度。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在市及以上媒体播发宣传我区稿件（篇）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40篇及以上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30篇及以上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20篇及以上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20篇以下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组织召开系列主题新闻发布会（场）</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舆论舆情引导管理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p>
        </w:tc>
        <w:tc>
          <w:tcPr>
            <w:tcW w:w="5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指导协调新闻舆论工作，组织系列主题新闻宣传，开展新闻业务调研评议；抓好新闻管理制度和措施落实；围绕社会热点敏感问题、突发事件，正确引导社会心态；组织开展舆情信息收集、分析、研判。</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牢牢把握正确导向，为全县经济社会发展提供有力的舆论支持；提升新闻工作者的政治意识、责任意识和职业素养；提高舆情研判能力和信息服务水平，及时化解、妥善处理有关负面舆情。</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突发事件新闻处置完成率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80%及以上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60%及以上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60%及以下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sz w:val="18"/>
                <w:szCs w:val="18"/>
                <w:highlight w:val="none"/>
                <w:u w:val="none"/>
                <w:lang w:val="en-US" w:eastAsia="zh-CN"/>
              </w:rPr>
              <w:t>3</w:t>
            </w:r>
          </w:p>
        </w:tc>
        <w:tc>
          <w:tcPr>
            <w:tcW w:w="5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组织境内外媒体来我省采访、宣传河北（次）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5及以上</w:t>
            </w:r>
          </w:p>
        </w:tc>
        <w:tc>
          <w:tcPr>
            <w:tcW w:w="24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互联网宣传和信息内容管理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加强网络安全和信息化工作，加强互联网宣传和信息内容管理，加强网络文化建设。</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完善互联网管理领导体制，加强网上舆论引导，营造良好网络舆论氛围，发展健康向上网络文化。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互联网重大突发事件应急处置率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80%及以上</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60%及以上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60%及以下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精神文明建设</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20</w:t>
            </w:r>
          </w:p>
        </w:tc>
        <w:tc>
          <w:tcPr>
            <w:tcW w:w="5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部署全县精神文明创建工作，组织指导全县群众性精神文明创建活动</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全县城乡文明程度显著提升，和谐向善的社会风气逐步形成。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社会风气、公民素质及文化生活质量水平</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显著提高</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明显提高</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有所提高</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没有提高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组织开展精神文明创建活动（次）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文化艺术发展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1190</w:t>
            </w:r>
          </w:p>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p>
        </w:tc>
        <w:tc>
          <w:tcPr>
            <w:tcW w:w="5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研究全县文化艺术发展的指导方针，构建现代公共文化服务体系，加强精神文化产品创作生产，传承和保护优秀传统文化，推动文化艺术健康发展</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推动全县文化艺术健康发展。</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组织系列文化活动数量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5及以上</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少于3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文化保护</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3</w:t>
            </w:r>
          </w:p>
        </w:tc>
        <w:tc>
          <w:tcPr>
            <w:tcW w:w="51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组织开展非物质文化保护工作；组织实施优秀民族文化的传承普及工作。 对城乡特色鲜明的艺术形式和文化活动进行扶持和保护，推动特色文化传承发扬。</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珍贵、濒危的非物质文化遗产得到有效抢救和保护，优秀特色文化得到传承和发扬。</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健全各级非遗保护名录数量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展示和传承优秀项目数量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90-80%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80-70%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70%以下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公共服务工程推广</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57.618</w:t>
            </w:r>
          </w:p>
        </w:tc>
        <w:tc>
          <w:tcPr>
            <w:tcW w:w="516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农家书屋建设、全民阅读活动</w:t>
            </w:r>
          </w:p>
        </w:tc>
        <w:tc>
          <w:tcPr>
            <w:tcW w:w="18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农村电影工作、县城数字影院升级改造、农家书屋建设、全民阅读活动、老放映员生活补助以及应急广播体系建设等任务目标。</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农村公益电影放映场次</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100%</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95%及以上</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农家书屋更新完成率</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按时优质完成任务目标，书屋作用显著。</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按时完成出版物补充更新</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基本完成出版物补充更新</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未能按要求完成出版物更新任务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全民阅读活动任务完成率</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按时高质量完成各项目标；阅读品牌形成；社会影响大。</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按时完成各项目标；重点活动内容有创新。</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完成各项目标；重点活动顺利推进。</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未能全面完成目标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老放映员补助到位情况</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各级资金足额配套；按标准及时发放</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配套资金达到90%及以上</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配套资金达到80%及以上</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资金不能落实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发展群众体育</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170</w:t>
            </w:r>
          </w:p>
        </w:tc>
        <w:tc>
          <w:tcPr>
            <w:tcW w:w="516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w:t>
            </w:r>
          </w:p>
        </w:tc>
        <w:tc>
          <w:tcPr>
            <w:tcW w:w="18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发展全民健身事业，完善全民健身服务体系，满足群众健身需求</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指导组织开展大型全民健身活动次数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5及以上</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培养社会体育指导员人数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30及以上</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30-20</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20-10</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i w:val="0"/>
                <w:color w:val="000000"/>
                <w:kern w:val="0"/>
                <w:sz w:val="18"/>
                <w:szCs w:val="18"/>
                <w:highlight w:val="none"/>
                <w:u w:val="none"/>
                <w:lang w:val="en-US" w:eastAsia="zh-CN" w:bidi="ar"/>
              </w:rPr>
            </w:pPr>
          </w:p>
        </w:tc>
        <w:tc>
          <w:tcPr>
            <w:tcW w:w="516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6"/>
                <w:szCs w:val="16"/>
                <w:highlight w:val="none"/>
                <w:u w:val="none"/>
                <w:lang w:val="en-US" w:eastAsia="zh-CN" w:bidi="ar"/>
              </w:rPr>
            </w:pPr>
          </w:p>
        </w:tc>
        <w:tc>
          <w:tcPr>
            <w:tcW w:w="18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全民健身工程个数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5及以上</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体育设施建设和维护</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指导加强体育场馆、基地等体育设施建设，开展公共体育设施监督管理。</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加强体育健身设施建设，不断满足社会对体育健身设施的需求。</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完成年度基本建设和维修改造计划</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100%</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90%-99%</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80%-89%</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文化政务管理</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6</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负责系统综合业务管理和机关综合事务管理。</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拟定全市文化艺术方面有关发展规划、政策制度，开展调查研究，履行文化市场监管职责，开展文化宣传、保护等业务管理工作。</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政策规划等到有效执行，专项业务工作顺利开展，监管及时有效。</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90%及以上</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90-80%</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80-70%</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70%以下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宣传事物管理</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107.55</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负责系统综合业务管理和机关综合事务管理。</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确保各项业务工作谋划到位、顺利开展。保障机关工作正常高效运转。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确保各项业务工作谋划到位、顺利开展。</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100%</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90%-99%</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80%-89%</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负责机关综合事务管理</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cs="宋体"/>
                <w:i w:val="0"/>
                <w:color w:val="000000"/>
                <w:kern w:val="0"/>
                <w:sz w:val="18"/>
                <w:szCs w:val="18"/>
                <w:highlight w:val="none"/>
                <w:u w:val="none"/>
                <w:lang w:val="en-US" w:eastAsia="zh-CN" w:bidi="ar"/>
              </w:rPr>
            </w:pPr>
            <w:r>
              <w:rPr>
                <w:rFonts w:hint="eastAsia" w:ascii="方正书宋_GBK" w:eastAsia="方正书宋_GBK"/>
                <w:highlight w:val="none"/>
              </w:rPr>
              <w:t>28.35</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eastAsia="宋体" w:cs="宋体"/>
                <w:i w:val="0"/>
                <w:color w:val="000000"/>
                <w:kern w:val="0"/>
                <w:sz w:val="18"/>
                <w:szCs w:val="18"/>
                <w:highlight w:val="none"/>
                <w:u w:val="none"/>
                <w:lang w:val="en-US" w:eastAsia="zh-CN" w:bidi="ar"/>
              </w:rPr>
            </w:pPr>
            <w:r>
              <w:rPr>
                <w:rFonts w:hint="eastAsia"/>
                <w:sz w:val="18"/>
                <w:szCs w:val="18"/>
                <w:highlight w:val="none"/>
              </w:rPr>
              <w:t>负责</w:t>
            </w:r>
            <w:r>
              <w:rPr>
                <w:rFonts w:hint="eastAsia" w:ascii="方正书宋_GBK" w:eastAsia="方正书宋_GBK"/>
                <w:sz w:val="18"/>
                <w:szCs w:val="18"/>
                <w:highlight w:val="none"/>
              </w:rPr>
              <w:t>市场管理正常运转</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保障机关正常工作高效运转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综合事务保障率</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cs="宋体"/>
                <w:i w:val="0"/>
                <w:color w:val="000000"/>
                <w:kern w:val="0"/>
                <w:sz w:val="18"/>
                <w:szCs w:val="18"/>
                <w:highlight w:val="none"/>
                <w:u w:val="none"/>
                <w:lang w:val="en-US" w:eastAsia="zh-CN" w:bidi="ar"/>
              </w:rPr>
            </w:pPr>
            <w:r>
              <w:rPr>
                <w:rFonts w:hint="eastAsia" w:ascii="方正书宋_GBK" w:eastAsia="方正书宋_GBK"/>
                <w:highlight w:val="none"/>
              </w:rPr>
              <w:t>100%</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95%</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90%</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负责机关综合事务管</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cs="宋体"/>
                <w:i w:val="0"/>
                <w:color w:val="000000"/>
                <w:kern w:val="0"/>
                <w:sz w:val="18"/>
                <w:szCs w:val="18"/>
                <w:highlight w:val="none"/>
                <w:u w:val="none"/>
                <w:lang w:val="en-US" w:eastAsia="zh-CN" w:bidi="ar"/>
              </w:rPr>
            </w:pPr>
            <w:r>
              <w:rPr>
                <w:rFonts w:hint="eastAsia" w:ascii="方正书宋_GBK" w:eastAsia="方正书宋_GBK"/>
                <w:highlight w:val="none"/>
              </w:rPr>
              <w:t>2.3</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eastAsia="宋体" w:cs="宋体"/>
                <w:i w:val="0"/>
                <w:color w:val="000000"/>
                <w:kern w:val="0"/>
                <w:sz w:val="18"/>
                <w:szCs w:val="18"/>
                <w:highlight w:val="none"/>
                <w:u w:val="none"/>
                <w:lang w:val="en-US" w:eastAsia="zh-CN" w:bidi="ar"/>
              </w:rPr>
            </w:pPr>
            <w:r>
              <w:rPr>
                <w:rFonts w:hint="eastAsia"/>
                <w:sz w:val="18"/>
                <w:szCs w:val="18"/>
                <w:highlight w:val="none"/>
              </w:rPr>
              <w:t>负责</w:t>
            </w:r>
            <w:r>
              <w:rPr>
                <w:rFonts w:hint="eastAsia" w:ascii="方正书宋_GBK" w:eastAsia="方正书宋_GBK"/>
                <w:sz w:val="18"/>
                <w:szCs w:val="18"/>
                <w:highlight w:val="none"/>
              </w:rPr>
              <w:t>市场管理正常运转</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保障机关正常工作高效运转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综合事务保障率</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cs="宋体"/>
                <w:i w:val="0"/>
                <w:color w:val="000000"/>
                <w:kern w:val="0"/>
                <w:sz w:val="18"/>
                <w:szCs w:val="18"/>
                <w:highlight w:val="none"/>
                <w:u w:val="none"/>
                <w:lang w:val="en-US" w:eastAsia="zh-CN" w:bidi="ar"/>
              </w:rPr>
            </w:pPr>
            <w:r>
              <w:rPr>
                <w:rFonts w:hint="eastAsia" w:ascii="方正书宋_GBK" w:eastAsia="方正书宋_GBK"/>
                <w:highlight w:val="none"/>
              </w:rPr>
              <w:t>80%</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70%</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60%</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5" w:hRule="atLeast"/>
        </w:trPr>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负责机关综合事务管</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cs="宋体"/>
                <w:i w:val="0"/>
                <w:color w:val="000000"/>
                <w:kern w:val="0"/>
                <w:sz w:val="18"/>
                <w:szCs w:val="18"/>
                <w:highlight w:val="none"/>
                <w:u w:val="none"/>
                <w:lang w:val="en-US" w:eastAsia="zh-CN" w:bidi="ar"/>
              </w:rPr>
            </w:pPr>
            <w:r>
              <w:rPr>
                <w:rFonts w:hint="eastAsia" w:ascii="方正书宋_GBK" w:eastAsia="方正书宋_GBK"/>
                <w:highlight w:val="none"/>
              </w:rPr>
              <w:t>996.92</w:t>
            </w:r>
          </w:p>
        </w:tc>
        <w:tc>
          <w:tcPr>
            <w:tcW w:w="516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sz w:val="18"/>
                <w:szCs w:val="18"/>
                <w:highlight w:val="none"/>
              </w:rPr>
            </w:pPr>
            <w:r>
              <w:rPr>
                <w:rFonts w:hint="eastAsia"/>
                <w:sz w:val="18"/>
                <w:szCs w:val="18"/>
                <w:highlight w:val="none"/>
              </w:rPr>
              <w:t>负责</w:t>
            </w:r>
            <w:r>
              <w:rPr>
                <w:rFonts w:hint="eastAsia" w:ascii="方正书宋_GBK" w:eastAsia="方正书宋_GBK"/>
                <w:sz w:val="18"/>
                <w:szCs w:val="18"/>
                <w:highlight w:val="none"/>
              </w:rPr>
              <w:t>市场管理正常运转；</w:t>
            </w:r>
            <w:r>
              <w:rPr>
                <w:rFonts w:hint="eastAsia"/>
                <w:sz w:val="18"/>
                <w:szCs w:val="18"/>
                <w:highlight w:val="none"/>
              </w:rPr>
              <w:t>负责市场营销策划、招商宣传、活动举办、展会组织、国际贸易、外联对接、运营管理等工作。负责上级部门交办的其他事项。</w:t>
            </w:r>
          </w:p>
          <w:p>
            <w:pPr>
              <w:spacing w:line="300" w:lineRule="exact"/>
              <w:jc w:val="left"/>
              <w:rPr>
                <w:rFonts w:hint="eastAsia" w:ascii="宋体" w:hAnsi="宋体" w:eastAsia="宋体" w:cs="宋体"/>
                <w:i w:val="0"/>
                <w:color w:val="000000"/>
                <w:kern w:val="0"/>
                <w:sz w:val="18"/>
                <w:szCs w:val="18"/>
                <w:highlight w:val="none"/>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保障机关正常工作高效运转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color w:val="000000"/>
                <w:kern w:val="0"/>
                <w:sz w:val="18"/>
                <w:szCs w:val="18"/>
                <w:highlight w:val="none"/>
              </w:rPr>
              <w:t>综合事务保障率</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cs="宋体"/>
                <w:i w:val="0"/>
                <w:color w:val="000000"/>
                <w:kern w:val="0"/>
                <w:sz w:val="18"/>
                <w:szCs w:val="18"/>
                <w:highlight w:val="none"/>
                <w:u w:val="none"/>
                <w:lang w:val="en-US" w:eastAsia="zh-CN" w:bidi="ar"/>
              </w:rPr>
            </w:pPr>
            <w:r>
              <w:rPr>
                <w:rFonts w:hint="eastAsia" w:ascii="方正书宋_GBK" w:eastAsia="方正书宋_GBK"/>
                <w:highlight w:val="none"/>
              </w:rPr>
              <w:t>100%</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95%</w:t>
            </w:r>
          </w:p>
        </w:tc>
        <w:tc>
          <w:tcPr>
            <w:tcW w:w="9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90%</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宋体" w:hAnsi="宋体" w:eastAsia="宋体" w:cs="宋体"/>
                <w:i w:val="0"/>
                <w:color w:val="000000"/>
                <w:kern w:val="0"/>
                <w:sz w:val="18"/>
                <w:szCs w:val="18"/>
                <w:highlight w:val="none"/>
                <w:u w:val="none"/>
                <w:lang w:val="en-US" w:eastAsia="zh-CN" w:bidi="ar"/>
              </w:rPr>
            </w:pPr>
            <w:r>
              <w:rPr>
                <w:rFonts w:hint="eastAsia" w:ascii="方正书宋_GBK" w:eastAsia="方正书宋_GBK"/>
                <w:highlight w:val="none"/>
              </w:rPr>
              <w:t>90%</w:t>
            </w:r>
          </w:p>
        </w:tc>
      </w:tr>
    </w:tbl>
    <w:p>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pPr>
        <w:jc w:val="left"/>
        <w:outlineLvl w:val="0"/>
        <w:rPr>
          <w:rFonts w:hint="eastAsia"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保定白沟新城经济社会发展局</w:t>
      </w:r>
      <w:r>
        <w:rPr>
          <w:rFonts w:hint="eastAsia" w:ascii="仿宋" w:hAnsi="仿宋" w:eastAsia="仿宋"/>
          <w:sz w:val="32"/>
          <w:szCs w:val="32"/>
          <w:highlight w:val="none"/>
          <w:lang w:val="en-US" w:eastAsia="zh-CN"/>
        </w:rPr>
        <w:t>部门</w:t>
      </w:r>
      <w:r>
        <w:rPr>
          <w:rFonts w:hint="eastAsia" w:ascii="仿宋" w:hAnsi="仿宋" w:eastAsia="仿宋"/>
          <w:sz w:val="32"/>
          <w:szCs w:val="32"/>
          <w:highlight w:val="none"/>
        </w:rPr>
        <w:t>安排采购预算</w:t>
      </w:r>
      <w:r>
        <w:rPr>
          <w:rFonts w:hint="eastAsia" w:ascii="仿宋" w:hAnsi="仿宋" w:eastAsia="仿宋"/>
          <w:sz w:val="32"/>
          <w:szCs w:val="32"/>
          <w:highlight w:val="none"/>
          <w:lang w:val="en-US" w:eastAsia="zh-CN"/>
        </w:rPr>
        <w:t>4657</w:t>
      </w:r>
      <w:r>
        <w:rPr>
          <w:rFonts w:hint="eastAsia" w:ascii="仿宋" w:hAnsi="仿宋" w:eastAsia="仿宋"/>
          <w:sz w:val="32"/>
          <w:szCs w:val="32"/>
          <w:highlight w:val="none"/>
        </w:rPr>
        <w:t>万元。具体内容见下表：</w:t>
      </w:r>
    </w:p>
    <w:tbl>
      <w:tblPr>
        <w:tblStyle w:val="5"/>
        <w:tblpPr w:leftFromText="180" w:rightFromText="180" w:vertAnchor="text" w:horzAnchor="page" w:tblpXSpec="center" w:tblpY="578"/>
        <w:tblOverlap w:val="neve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2"/>
        <w:gridCol w:w="925"/>
        <w:gridCol w:w="1379"/>
        <w:gridCol w:w="868"/>
        <w:gridCol w:w="664"/>
        <w:gridCol w:w="800"/>
        <w:gridCol w:w="783"/>
        <w:gridCol w:w="1022"/>
        <w:gridCol w:w="1056"/>
        <w:gridCol w:w="1089"/>
        <w:gridCol w:w="766"/>
        <w:gridCol w:w="886"/>
        <w:gridCol w:w="800"/>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3227" w:type="dxa"/>
            <w:gridSpan w:val="2"/>
            <w:vAlign w:val="center"/>
          </w:tcPr>
          <w:p>
            <w:pPr>
              <w:spacing w:line="300" w:lineRule="exact"/>
              <w:jc w:val="center"/>
              <w:rPr>
                <w:rFonts w:ascii="????_GBK" w:eastAsia="Times New Roman"/>
                <w:b/>
                <w:highlight w:val="none"/>
              </w:rPr>
            </w:pPr>
            <w:r>
              <w:rPr>
                <w:rFonts w:ascii="????_GBK" w:eastAsia="Times New Roman"/>
                <w:b/>
                <w:highlight w:val="none"/>
              </w:rPr>
              <w:t>政府采购项目来源</w:t>
            </w:r>
          </w:p>
        </w:tc>
        <w:tc>
          <w:tcPr>
            <w:tcW w:w="1379" w:type="dxa"/>
            <w:vMerge w:val="restart"/>
            <w:vAlign w:val="center"/>
          </w:tcPr>
          <w:p>
            <w:pPr>
              <w:spacing w:line="300" w:lineRule="exact"/>
              <w:jc w:val="center"/>
              <w:rPr>
                <w:rFonts w:ascii="????_GBK" w:eastAsia="Times New Roman"/>
                <w:b/>
                <w:highlight w:val="none"/>
              </w:rPr>
            </w:pPr>
            <w:r>
              <w:rPr>
                <w:rFonts w:ascii="????_GBK" w:eastAsia="Times New Roman"/>
                <w:b/>
                <w:highlight w:val="none"/>
              </w:rPr>
              <w:t>采购物品名称</w:t>
            </w:r>
          </w:p>
        </w:tc>
        <w:tc>
          <w:tcPr>
            <w:tcW w:w="868" w:type="dxa"/>
            <w:vMerge w:val="restart"/>
            <w:vAlign w:val="center"/>
          </w:tcPr>
          <w:p>
            <w:pPr>
              <w:spacing w:line="300" w:lineRule="exact"/>
              <w:jc w:val="center"/>
              <w:rPr>
                <w:rFonts w:ascii="????_GBK" w:eastAsia="Times New Roman"/>
                <w:b/>
                <w:highlight w:val="none"/>
              </w:rPr>
            </w:pPr>
            <w:r>
              <w:rPr>
                <w:rFonts w:ascii="????_GBK" w:eastAsia="Times New Roman"/>
                <w:b/>
                <w:highlight w:val="none"/>
              </w:rPr>
              <w:t>政府采购目录序号</w:t>
            </w:r>
          </w:p>
        </w:tc>
        <w:tc>
          <w:tcPr>
            <w:tcW w:w="664" w:type="dxa"/>
            <w:vMerge w:val="restart"/>
            <w:vAlign w:val="center"/>
          </w:tcPr>
          <w:p>
            <w:pPr>
              <w:spacing w:line="300" w:lineRule="exact"/>
              <w:jc w:val="center"/>
              <w:rPr>
                <w:rFonts w:ascii="????_GBK" w:eastAsia="Times New Roman"/>
                <w:b/>
                <w:highlight w:val="none"/>
              </w:rPr>
            </w:pPr>
            <w:r>
              <w:rPr>
                <w:rFonts w:ascii="????_GBK" w:eastAsia="Times New Roman"/>
                <w:b/>
                <w:highlight w:val="none"/>
              </w:rPr>
              <w:t>数量单位</w:t>
            </w:r>
          </w:p>
        </w:tc>
        <w:tc>
          <w:tcPr>
            <w:tcW w:w="800" w:type="dxa"/>
            <w:vMerge w:val="restart"/>
            <w:vAlign w:val="center"/>
          </w:tcPr>
          <w:p>
            <w:pPr>
              <w:spacing w:line="300" w:lineRule="exact"/>
              <w:jc w:val="center"/>
              <w:rPr>
                <w:rFonts w:ascii="????_GBK" w:eastAsia="Times New Roman"/>
                <w:b/>
                <w:highlight w:val="none"/>
              </w:rPr>
            </w:pPr>
            <w:r>
              <w:rPr>
                <w:rFonts w:ascii="????_GBK" w:eastAsia="Times New Roman"/>
                <w:b/>
                <w:highlight w:val="none"/>
              </w:rPr>
              <w:t>数量</w:t>
            </w:r>
          </w:p>
        </w:tc>
        <w:tc>
          <w:tcPr>
            <w:tcW w:w="783" w:type="dxa"/>
            <w:vMerge w:val="restart"/>
            <w:vAlign w:val="center"/>
          </w:tcPr>
          <w:p>
            <w:pPr>
              <w:spacing w:line="300" w:lineRule="exact"/>
              <w:jc w:val="center"/>
              <w:rPr>
                <w:rFonts w:ascii="????_GBK" w:eastAsia="Times New Roman"/>
                <w:b/>
                <w:highlight w:val="none"/>
              </w:rPr>
            </w:pPr>
            <w:r>
              <w:rPr>
                <w:rFonts w:ascii="????_GBK" w:eastAsia="Times New Roman"/>
                <w:b/>
                <w:highlight w:val="none"/>
              </w:rPr>
              <w:t>单价</w:t>
            </w:r>
          </w:p>
        </w:tc>
        <w:tc>
          <w:tcPr>
            <w:tcW w:w="6453" w:type="dxa"/>
            <w:gridSpan w:val="7"/>
            <w:vAlign w:val="center"/>
          </w:tcPr>
          <w:p>
            <w:pPr>
              <w:spacing w:line="300" w:lineRule="exact"/>
              <w:jc w:val="center"/>
              <w:rPr>
                <w:rFonts w:ascii="????_GBK" w:eastAsia="Times New Roman"/>
                <w:b/>
                <w:highlight w:val="none"/>
              </w:rPr>
            </w:pPr>
            <w:r>
              <w:rPr>
                <w:rFonts w:ascii="????_GBK" w:eastAsia="Times New Roman"/>
                <w:b/>
                <w:highlight w:val="none"/>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2302" w:type="dxa"/>
            <w:vMerge w:val="restart"/>
            <w:vAlign w:val="center"/>
          </w:tcPr>
          <w:p>
            <w:pPr>
              <w:spacing w:line="300" w:lineRule="exact"/>
              <w:jc w:val="center"/>
              <w:rPr>
                <w:rFonts w:ascii="????_GBK" w:eastAsia="Times New Roman"/>
                <w:b/>
                <w:highlight w:val="none"/>
              </w:rPr>
            </w:pPr>
            <w:r>
              <w:rPr>
                <w:rFonts w:ascii="????_GBK" w:eastAsia="Times New Roman"/>
                <w:b/>
                <w:highlight w:val="none"/>
              </w:rPr>
              <w:t>项目名称</w:t>
            </w:r>
          </w:p>
        </w:tc>
        <w:tc>
          <w:tcPr>
            <w:tcW w:w="925" w:type="dxa"/>
            <w:vMerge w:val="restart"/>
            <w:vAlign w:val="center"/>
          </w:tcPr>
          <w:p>
            <w:pPr>
              <w:spacing w:line="300" w:lineRule="exact"/>
              <w:jc w:val="center"/>
              <w:rPr>
                <w:rFonts w:ascii="????_GBK" w:eastAsia="Times New Roman"/>
                <w:b/>
                <w:highlight w:val="none"/>
              </w:rPr>
            </w:pPr>
            <w:r>
              <w:rPr>
                <w:rFonts w:ascii="????_GBK" w:eastAsia="Times New Roman"/>
                <w:b/>
                <w:highlight w:val="none"/>
              </w:rPr>
              <w:t>预算资金</w:t>
            </w:r>
          </w:p>
        </w:tc>
        <w:tc>
          <w:tcPr>
            <w:tcW w:w="1379" w:type="dxa"/>
            <w:vMerge w:val="continue"/>
            <w:vAlign w:val="center"/>
          </w:tcPr>
          <w:p>
            <w:pPr>
              <w:spacing w:line="300" w:lineRule="exact"/>
              <w:jc w:val="left"/>
              <w:outlineLvl w:val="0"/>
              <w:rPr>
                <w:highlight w:val="none"/>
              </w:rPr>
            </w:pPr>
          </w:p>
        </w:tc>
        <w:tc>
          <w:tcPr>
            <w:tcW w:w="868" w:type="dxa"/>
            <w:vMerge w:val="continue"/>
            <w:vAlign w:val="center"/>
          </w:tcPr>
          <w:p>
            <w:pPr>
              <w:spacing w:line="300" w:lineRule="exact"/>
              <w:jc w:val="left"/>
              <w:outlineLvl w:val="0"/>
              <w:rPr>
                <w:highlight w:val="none"/>
              </w:rPr>
            </w:pPr>
          </w:p>
        </w:tc>
        <w:tc>
          <w:tcPr>
            <w:tcW w:w="664" w:type="dxa"/>
            <w:vMerge w:val="continue"/>
            <w:vAlign w:val="center"/>
          </w:tcPr>
          <w:p>
            <w:pPr>
              <w:spacing w:line="300" w:lineRule="exact"/>
              <w:jc w:val="left"/>
              <w:outlineLvl w:val="0"/>
              <w:rPr>
                <w:highlight w:val="none"/>
              </w:rPr>
            </w:pPr>
          </w:p>
        </w:tc>
        <w:tc>
          <w:tcPr>
            <w:tcW w:w="800" w:type="dxa"/>
            <w:vMerge w:val="continue"/>
            <w:vAlign w:val="center"/>
          </w:tcPr>
          <w:p>
            <w:pPr>
              <w:spacing w:line="300" w:lineRule="exact"/>
              <w:jc w:val="left"/>
              <w:outlineLvl w:val="0"/>
              <w:rPr>
                <w:highlight w:val="none"/>
              </w:rPr>
            </w:pPr>
          </w:p>
        </w:tc>
        <w:tc>
          <w:tcPr>
            <w:tcW w:w="783" w:type="dxa"/>
            <w:vMerge w:val="continue"/>
            <w:vAlign w:val="center"/>
          </w:tcPr>
          <w:p>
            <w:pPr>
              <w:spacing w:line="300" w:lineRule="exact"/>
              <w:jc w:val="left"/>
              <w:outlineLvl w:val="0"/>
              <w:rPr>
                <w:highlight w:val="none"/>
              </w:rPr>
            </w:pPr>
          </w:p>
        </w:tc>
        <w:tc>
          <w:tcPr>
            <w:tcW w:w="1022" w:type="dxa"/>
            <w:vMerge w:val="restart"/>
            <w:vAlign w:val="center"/>
          </w:tcPr>
          <w:p>
            <w:pPr>
              <w:spacing w:line="300" w:lineRule="exact"/>
              <w:jc w:val="center"/>
              <w:rPr>
                <w:rFonts w:ascii="????_GBK" w:eastAsia="Times New Roman"/>
                <w:b/>
                <w:highlight w:val="none"/>
              </w:rPr>
            </w:pPr>
            <w:r>
              <w:rPr>
                <w:rFonts w:ascii="????_GBK" w:eastAsia="Times New Roman"/>
                <w:b/>
                <w:highlight w:val="none"/>
              </w:rPr>
              <w:t>总计</w:t>
            </w:r>
          </w:p>
        </w:tc>
        <w:tc>
          <w:tcPr>
            <w:tcW w:w="4597" w:type="dxa"/>
            <w:gridSpan w:val="5"/>
            <w:vAlign w:val="center"/>
          </w:tcPr>
          <w:p>
            <w:pPr>
              <w:spacing w:line="300" w:lineRule="exact"/>
              <w:jc w:val="center"/>
              <w:rPr>
                <w:rFonts w:ascii="????_GBK" w:eastAsia="Times New Roman"/>
                <w:b/>
                <w:highlight w:val="none"/>
              </w:rPr>
            </w:pPr>
            <w:r>
              <w:rPr>
                <w:rFonts w:ascii="????_GBK" w:eastAsia="Times New Roman"/>
                <w:b/>
                <w:highlight w:val="none"/>
              </w:rPr>
              <w:t>当年部门预算安排资金</w:t>
            </w:r>
          </w:p>
        </w:tc>
        <w:tc>
          <w:tcPr>
            <w:tcW w:w="834" w:type="dxa"/>
            <w:vMerge w:val="restart"/>
            <w:vAlign w:val="center"/>
          </w:tcPr>
          <w:p>
            <w:pPr>
              <w:spacing w:line="300" w:lineRule="exact"/>
              <w:jc w:val="center"/>
              <w:rPr>
                <w:rFonts w:ascii="????_GBK" w:eastAsia="Times New Roman"/>
                <w:b/>
                <w:highlight w:val="none"/>
              </w:rPr>
            </w:pPr>
            <w:r>
              <w:rPr>
                <w:rFonts w:ascii="????_GBK" w:eastAsia="Times New Roman"/>
                <w:b/>
                <w:highlight w:val="none"/>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jc w:val="center"/>
        </w:trPr>
        <w:tc>
          <w:tcPr>
            <w:tcW w:w="2302" w:type="dxa"/>
            <w:vMerge w:val="continue"/>
            <w:vAlign w:val="center"/>
          </w:tcPr>
          <w:p>
            <w:pPr>
              <w:spacing w:line="300" w:lineRule="exact"/>
              <w:jc w:val="left"/>
              <w:outlineLvl w:val="0"/>
              <w:rPr>
                <w:highlight w:val="none"/>
              </w:rPr>
            </w:pPr>
          </w:p>
        </w:tc>
        <w:tc>
          <w:tcPr>
            <w:tcW w:w="925" w:type="dxa"/>
            <w:vMerge w:val="continue"/>
            <w:vAlign w:val="center"/>
          </w:tcPr>
          <w:p>
            <w:pPr>
              <w:spacing w:line="300" w:lineRule="exact"/>
              <w:jc w:val="left"/>
              <w:outlineLvl w:val="0"/>
              <w:rPr>
                <w:highlight w:val="none"/>
              </w:rPr>
            </w:pPr>
          </w:p>
        </w:tc>
        <w:tc>
          <w:tcPr>
            <w:tcW w:w="1379" w:type="dxa"/>
            <w:vMerge w:val="continue"/>
            <w:vAlign w:val="center"/>
          </w:tcPr>
          <w:p>
            <w:pPr>
              <w:spacing w:line="300" w:lineRule="exact"/>
              <w:jc w:val="left"/>
              <w:outlineLvl w:val="0"/>
              <w:rPr>
                <w:highlight w:val="none"/>
              </w:rPr>
            </w:pPr>
          </w:p>
        </w:tc>
        <w:tc>
          <w:tcPr>
            <w:tcW w:w="868" w:type="dxa"/>
            <w:vMerge w:val="continue"/>
            <w:vAlign w:val="center"/>
          </w:tcPr>
          <w:p>
            <w:pPr>
              <w:spacing w:line="300" w:lineRule="exact"/>
              <w:jc w:val="left"/>
              <w:outlineLvl w:val="0"/>
              <w:rPr>
                <w:highlight w:val="none"/>
              </w:rPr>
            </w:pPr>
          </w:p>
        </w:tc>
        <w:tc>
          <w:tcPr>
            <w:tcW w:w="664" w:type="dxa"/>
            <w:vMerge w:val="continue"/>
            <w:vAlign w:val="center"/>
          </w:tcPr>
          <w:p>
            <w:pPr>
              <w:spacing w:line="300" w:lineRule="exact"/>
              <w:jc w:val="left"/>
              <w:outlineLvl w:val="0"/>
              <w:rPr>
                <w:highlight w:val="none"/>
              </w:rPr>
            </w:pPr>
          </w:p>
        </w:tc>
        <w:tc>
          <w:tcPr>
            <w:tcW w:w="800" w:type="dxa"/>
            <w:vMerge w:val="continue"/>
            <w:vAlign w:val="center"/>
          </w:tcPr>
          <w:p>
            <w:pPr>
              <w:spacing w:line="300" w:lineRule="exact"/>
              <w:jc w:val="left"/>
              <w:outlineLvl w:val="0"/>
              <w:rPr>
                <w:highlight w:val="none"/>
              </w:rPr>
            </w:pPr>
          </w:p>
        </w:tc>
        <w:tc>
          <w:tcPr>
            <w:tcW w:w="783" w:type="dxa"/>
            <w:vMerge w:val="continue"/>
            <w:vAlign w:val="center"/>
          </w:tcPr>
          <w:p>
            <w:pPr>
              <w:spacing w:line="300" w:lineRule="exact"/>
              <w:jc w:val="left"/>
              <w:outlineLvl w:val="0"/>
              <w:rPr>
                <w:highlight w:val="none"/>
              </w:rPr>
            </w:pPr>
          </w:p>
        </w:tc>
        <w:tc>
          <w:tcPr>
            <w:tcW w:w="1022" w:type="dxa"/>
            <w:vMerge w:val="continue"/>
            <w:vAlign w:val="center"/>
          </w:tcPr>
          <w:p>
            <w:pPr>
              <w:spacing w:line="300" w:lineRule="exact"/>
              <w:jc w:val="left"/>
              <w:outlineLvl w:val="0"/>
              <w:rPr>
                <w:highlight w:val="none"/>
              </w:rPr>
            </w:pPr>
          </w:p>
        </w:tc>
        <w:tc>
          <w:tcPr>
            <w:tcW w:w="1056" w:type="dxa"/>
            <w:vAlign w:val="center"/>
          </w:tcPr>
          <w:p>
            <w:pPr>
              <w:spacing w:line="300" w:lineRule="exact"/>
              <w:jc w:val="center"/>
              <w:rPr>
                <w:rFonts w:ascii="????_GBK" w:eastAsia="Times New Roman"/>
                <w:b/>
                <w:highlight w:val="none"/>
              </w:rPr>
            </w:pPr>
            <w:r>
              <w:rPr>
                <w:rFonts w:ascii="????_GBK" w:eastAsia="Times New Roman"/>
                <w:b/>
                <w:highlight w:val="none"/>
              </w:rPr>
              <w:t>合计</w:t>
            </w:r>
          </w:p>
        </w:tc>
        <w:tc>
          <w:tcPr>
            <w:tcW w:w="1089" w:type="dxa"/>
            <w:vAlign w:val="center"/>
          </w:tcPr>
          <w:p>
            <w:pPr>
              <w:spacing w:line="300" w:lineRule="exact"/>
              <w:jc w:val="center"/>
              <w:rPr>
                <w:rFonts w:ascii="????_GBK" w:eastAsia="Times New Roman"/>
                <w:b/>
                <w:highlight w:val="none"/>
              </w:rPr>
            </w:pPr>
            <w:r>
              <w:rPr>
                <w:rFonts w:ascii="????_GBK" w:eastAsia="Times New Roman"/>
                <w:b/>
                <w:highlight w:val="none"/>
              </w:rPr>
              <w:t>一般公共预算拨款</w:t>
            </w:r>
          </w:p>
        </w:tc>
        <w:tc>
          <w:tcPr>
            <w:tcW w:w="766" w:type="dxa"/>
            <w:vAlign w:val="center"/>
          </w:tcPr>
          <w:p>
            <w:pPr>
              <w:spacing w:line="300" w:lineRule="exact"/>
              <w:jc w:val="center"/>
              <w:rPr>
                <w:rFonts w:ascii="????_GBK" w:eastAsia="Times New Roman"/>
                <w:b/>
                <w:highlight w:val="none"/>
              </w:rPr>
            </w:pPr>
            <w:r>
              <w:rPr>
                <w:rFonts w:ascii="????_GBK" w:eastAsia="Times New Roman"/>
                <w:b/>
                <w:highlight w:val="none"/>
              </w:rPr>
              <w:t>基金预算拨款</w:t>
            </w:r>
          </w:p>
        </w:tc>
        <w:tc>
          <w:tcPr>
            <w:tcW w:w="886" w:type="dxa"/>
            <w:vAlign w:val="center"/>
          </w:tcPr>
          <w:p>
            <w:pPr>
              <w:spacing w:line="300" w:lineRule="exact"/>
              <w:jc w:val="center"/>
              <w:rPr>
                <w:rFonts w:ascii="????_GBK" w:eastAsia="Times New Roman"/>
                <w:b/>
                <w:highlight w:val="none"/>
              </w:rPr>
            </w:pPr>
            <w:r>
              <w:rPr>
                <w:rFonts w:ascii="????_GBK" w:eastAsia="Times New Roman"/>
                <w:b/>
                <w:highlight w:val="none"/>
              </w:rPr>
              <w:t>财政专户核拨</w:t>
            </w:r>
          </w:p>
        </w:tc>
        <w:tc>
          <w:tcPr>
            <w:tcW w:w="800" w:type="dxa"/>
            <w:vAlign w:val="center"/>
          </w:tcPr>
          <w:p>
            <w:pPr>
              <w:spacing w:line="300" w:lineRule="exact"/>
              <w:jc w:val="center"/>
              <w:rPr>
                <w:rFonts w:ascii="????_GBK" w:eastAsia="Times New Roman"/>
                <w:b/>
                <w:highlight w:val="none"/>
              </w:rPr>
            </w:pPr>
            <w:r>
              <w:rPr>
                <w:rFonts w:ascii="????_GBK" w:eastAsia="Times New Roman"/>
                <w:b/>
                <w:highlight w:val="none"/>
              </w:rPr>
              <w:t>其他来源收入</w:t>
            </w:r>
          </w:p>
        </w:tc>
        <w:tc>
          <w:tcPr>
            <w:tcW w:w="834" w:type="dxa"/>
            <w:vMerge w:val="continue"/>
            <w:vAlign w:val="center"/>
          </w:tcPr>
          <w:p>
            <w:pPr>
              <w:spacing w:line="300" w:lineRule="exact"/>
              <w:jc w:val="left"/>
              <w:outlineLvl w:val="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2302" w:type="dxa"/>
            <w:vAlign w:val="center"/>
          </w:tcPr>
          <w:p>
            <w:pPr>
              <w:spacing w:line="300" w:lineRule="exact"/>
              <w:jc w:val="center"/>
              <w:rPr>
                <w:rFonts w:ascii="????_GBK" w:eastAsia="Times New Roman"/>
                <w:b/>
                <w:highlight w:val="none"/>
              </w:rPr>
            </w:pPr>
            <w:r>
              <w:rPr>
                <w:rFonts w:ascii="????_GBK" w:eastAsia="Times New Roman"/>
                <w:b/>
                <w:highlight w:val="none"/>
              </w:rPr>
              <w:t>合　计</w:t>
            </w:r>
          </w:p>
        </w:tc>
        <w:tc>
          <w:tcPr>
            <w:tcW w:w="925" w:type="dxa"/>
            <w:shd w:val="clear" w:color="auto" w:fill="auto"/>
            <w:vAlign w:val="center"/>
          </w:tcPr>
          <w:p>
            <w:pPr>
              <w:spacing w:line="300" w:lineRule="exact"/>
              <w:jc w:val="right"/>
              <w:rPr>
                <w:rFonts w:ascii="????_GBK"/>
                <w:b/>
                <w:highlight w:val="none"/>
              </w:rPr>
            </w:pPr>
          </w:p>
        </w:tc>
        <w:tc>
          <w:tcPr>
            <w:tcW w:w="1379" w:type="dxa"/>
            <w:shd w:val="clear" w:color="auto" w:fill="auto"/>
            <w:vAlign w:val="center"/>
          </w:tcPr>
          <w:p>
            <w:pPr>
              <w:spacing w:line="300" w:lineRule="exact"/>
              <w:jc w:val="left"/>
              <w:rPr>
                <w:rFonts w:ascii="????_GBK" w:eastAsia="Times New Roman"/>
                <w:b/>
                <w:highlight w:val="none"/>
              </w:rPr>
            </w:pPr>
          </w:p>
        </w:tc>
        <w:tc>
          <w:tcPr>
            <w:tcW w:w="868" w:type="dxa"/>
            <w:shd w:val="clear" w:color="auto" w:fill="auto"/>
            <w:vAlign w:val="center"/>
          </w:tcPr>
          <w:p>
            <w:pPr>
              <w:spacing w:line="300" w:lineRule="exact"/>
              <w:jc w:val="left"/>
              <w:rPr>
                <w:rFonts w:ascii="????_GBK" w:eastAsia="Times New Roman"/>
                <w:b/>
                <w:highlight w:val="none"/>
              </w:rPr>
            </w:pPr>
          </w:p>
        </w:tc>
        <w:tc>
          <w:tcPr>
            <w:tcW w:w="664" w:type="dxa"/>
            <w:shd w:val="clear" w:color="auto" w:fill="auto"/>
            <w:vAlign w:val="center"/>
          </w:tcPr>
          <w:p>
            <w:pPr>
              <w:spacing w:line="300" w:lineRule="exact"/>
              <w:jc w:val="lef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783" w:type="dxa"/>
            <w:shd w:val="clear" w:color="auto" w:fill="auto"/>
            <w:vAlign w:val="center"/>
          </w:tcPr>
          <w:p>
            <w:pPr>
              <w:spacing w:line="300" w:lineRule="exact"/>
              <w:jc w:val="right"/>
              <w:rPr>
                <w:rFonts w:ascii="????_GBK" w:eastAsia="Times New Roman"/>
                <w:b/>
                <w:highlight w:val="none"/>
              </w:rPr>
            </w:pPr>
          </w:p>
        </w:tc>
        <w:tc>
          <w:tcPr>
            <w:tcW w:w="1022"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r>
              <w:rPr>
                <w:rFonts w:hint="eastAsia" w:ascii="宋体" w:hAnsi="宋体" w:cs="宋体"/>
                <w:i w:val="0"/>
                <w:color w:val="000000"/>
                <w:kern w:val="0"/>
                <w:sz w:val="18"/>
                <w:szCs w:val="18"/>
                <w:highlight w:val="none"/>
                <w:u w:val="none"/>
                <w:lang w:val="en-US" w:eastAsia="zh-CN" w:bidi="ar"/>
              </w:rPr>
              <w:t>4657</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cs="宋体"/>
                <w:i w:val="0"/>
                <w:color w:val="000000"/>
                <w:kern w:val="0"/>
                <w:sz w:val="18"/>
                <w:szCs w:val="18"/>
                <w:highlight w:val="none"/>
                <w:u w:val="none"/>
                <w:lang w:val="en-US" w:eastAsia="zh-CN" w:bidi="ar"/>
              </w:rPr>
              <w:t>4657</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cs="宋体"/>
                <w:i w:val="0"/>
                <w:color w:val="000000"/>
                <w:kern w:val="0"/>
                <w:sz w:val="18"/>
                <w:szCs w:val="18"/>
                <w:highlight w:val="none"/>
                <w:u w:val="none"/>
                <w:lang w:val="en-US" w:eastAsia="zh-CN" w:bidi="ar"/>
              </w:rPr>
              <w:t>4432.52</w:t>
            </w:r>
          </w:p>
        </w:tc>
        <w:tc>
          <w:tcPr>
            <w:tcW w:w="766" w:type="dxa"/>
            <w:shd w:val="clear" w:color="auto" w:fill="auto"/>
            <w:vAlign w:val="center"/>
          </w:tcPr>
          <w:p>
            <w:pPr>
              <w:spacing w:line="300" w:lineRule="exact"/>
              <w:jc w:val="right"/>
              <w:rPr>
                <w:rFonts w:hint="eastAsia" w:ascii="????_GBK" w:eastAsia="宋体"/>
                <w:b/>
                <w:highlight w:val="none"/>
                <w:lang w:val="en-US" w:eastAsia="zh-CN"/>
              </w:rPr>
            </w:pPr>
            <w:r>
              <w:rPr>
                <w:rFonts w:hint="eastAsia" w:ascii="????_GBK"/>
                <w:b/>
                <w:highlight w:val="none"/>
                <w:lang w:val="en-US" w:eastAsia="zh-CN"/>
              </w:rPr>
              <w:t>150</w:t>
            </w: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right"/>
              <w:textAlignment w:val="center"/>
              <w:rPr>
                <w:rFonts w:hint="eastAsia" w:ascii="????_GBK" w:eastAsia="宋体"/>
                <w:b/>
                <w:color w:val="000000" w:themeColor="text1"/>
                <w:highlight w:val="none"/>
                <w:lang w:val="en-US" w:eastAsia="zh-CN"/>
                <w14:textFill>
                  <w14:solidFill>
                    <w14:schemeClr w14:val="tx1"/>
                  </w14:solidFill>
                </w14:textFill>
              </w:rPr>
            </w:pPr>
            <w:r>
              <w:rPr>
                <w:rFonts w:hint="eastAsia" w:ascii="????_GBK"/>
                <w:b/>
                <w:color w:val="000000" w:themeColor="text1"/>
                <w:highlight w:val="none"/>
                <w:lang w:val="en-US" w:eastAsia="zh-CN"/>
                <w14:textFill>
                  <w14:solidFill>
                    <w14:schemeClr w14:val="tx1"/>
                  </w14:solidFill>
                </w14:textFill>
              </w:rPr>
              <w:t>74.48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办公用品</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3</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办公用品</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A09</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color w:val="000000" w:themeColor="text1"/>
                <w:highlight w:val="none"/>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电脑等办公设备维修及耗材</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3</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电脑等办公设备维修及耗材</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A09</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eastAsia="Times New Roman"/>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公车运行维护费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5.05</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公车运行维护费</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C050301</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 xml:space="preserve">                  </w:t>
            </w: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5.05</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5.05</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5.05</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台式电脑6台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2.7</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台式电脑6台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A020101</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0.45</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2.7</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2.7</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2.7</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笔记本电脑2台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1.2</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笔记本电脑2台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A020101</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0.60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1.2</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1.2</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1.2</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A4一体机2台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A4一体机2台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A020204</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0.25</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数码相机1台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数码相机1台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A020205</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摄像机1台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摄像机1台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A020205</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投影仪1台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投影仪1台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A020202</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传真机3台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传真机3台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A020101</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0.20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扫描仪1台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0.15</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扫描仪1台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A0201060901</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0.15</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0.15</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0.15</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0.15</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激光打印机3台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激光打印机3台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A020201</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0.20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0.6</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碎纸机1台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碎纸机1台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A020211</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0.10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0.1</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办公桌家具</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办公桌家具</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A06</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2</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1.5p空调 3台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1.05</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1.5p空调 3台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A0206180203</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0.35</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1.05</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1.05</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1.05</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3P空调  2台</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1.4</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3P空调  2台</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A0206180203</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0.70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1.4</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1.4</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1.4</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宣传费</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0.5</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执法记录仪</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0.24</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执法记录仪</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A0210</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0.12</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0.24</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0.24</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0.24</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录音笔</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录音笔</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A0210</w:t>
            </w:r>
          </w:p>
        </w:tc>
        <w:tc>
          <w:tcPr>
            <w:tcW w:w="664"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个</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0.10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0.2</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第四次经济普查经费预算</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85.12</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第四次经济普查经费预算</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A0803</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85.12</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85.12</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85.12</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城乡住户调查经费预算</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7.1</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城乡住户调查经费预算</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7.1</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7.1</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7.1</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农民工市民化进程监测调查经费预算</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0.7</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农民工市民化进程监测调查经费预算</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0.7</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0.7</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0.7</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投入产出调查经费预算</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投入产出调查经费预算</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人口变动调查经费预算</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1.52</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人口变动调查经费预算</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1.52</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1.52</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1.52</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四上企业统计站经费预算</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41.2</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四上企业统计站经费预算</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41.2</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41.2</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41.2</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统计刊物印刷经费预算</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统计刊物印刷经费预算</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白沟新城无线局域网免费WIFI建设项目</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400.00</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白沟新城无线局域网免费WIFI建设项目</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C05</w:t>
            </w:r>
          </w:p>
        </w:tc>
        <w:tc>
          <w:tcPr>
            <w:tcW w:w="664" w:type="dxa"/>
            <w:shd w:val="clear" w:color="auto" w:fill="auto"/>
            <w:vAlign w:val="center"/>
          </w:tcPr>
          <w:p>
            <w:pPr>
              <w:keepNext w:val="0"/>
              <w:keepLines w:val="0"/>
              <w:widowControl/>
              <w:suppressLineNumbers w:val="0"/>
              <w:jc w:val="left"/>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400.00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400.00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400.00</w:t>
            </w:r>
          </w:p>
        </w:tc>
        <w:tc>
          <w:tcPr>
            <w:tcW w:w="766" w:type="dxa"/>
            <w:shd w:val="clear" w:color="auto" w:fill="auto"/>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白沟新城重点项目宣传册</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20"/>
                <w:szCs w:val="20"/>
                <w:highlight w:val="none"/>
                <w:u w:val="none"/>
                <w:lang w:val="en-US" w:eastAsia="zh-CN" w:bidi="ar"/>
              </w:rPr>
              <w:t>白沟新城重点项目宣传册</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766" w:type="dxa"/>
            <w:shd w:val="clear" w:color="auto" w:fill="auto"/>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驻京办公室办公经费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137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驻京办公室办公经费</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宣传推介经费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70.00</w:t>
            </w:r>
          </w:p>
        </w:tc>
        <w:tc>
          <w:tcPr>
            <w:tcW w:w="137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宣传推介经费</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试点政策业务培训费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37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试点政策业务培训费</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白沟国际贸易港项目建设资金</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1369.70</w:t>
            </w:r>
          </w:p>
        </w:tc>
        <w:tc>
          <w:tcPr>
            <w:tcW w:w="137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白沟国际贸易港项目建设资金</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B99</w:t>
            </w:r>
          </w:p>
        </w:tc>
        <w:tc>
          <w:tcPr>
            <w:tcW w:w="664" w:type="dxa"/>
            <w:shd w:val="clear" w:color="auto" w:fill="auto"/>
            <w:vAlign w:val="center"/>
          </w:tcPr>
          <w:p>
            <w:pPr>
              <w:keepNext w:val="0"/>
              <w:keepLines w:val="0"/>
              <w:widowControl/>
              <w:suppressLineNumbers w:val="0"/>
              <w:jc w:val="center"/>
              <w:textAlignment w:val="center"/>
              <w:rPr>
                <w:rFonts w:ascii="????_GBK"/>
                <w:b w:val="0"/>
                <w:bCs/>
                <w:highlight w:val="none"/>
              </w:rPr>
            </w:pPr>
            <w:r>
              <w:rPr>
                <w:rFonts w:hint="eastAsia" w:ascii="宋体" w:hAnsi="宋体" w:eastAsia="宋体" w:cs="宋体"/>
                <w:b w:val="0"/>
                <w:bCs/>
                <w:i w:val="0"/>
                <w:color w:val="000000"/>
                <w:kern w:val="0"/>
                <w:sz w:val="18"/>
                <w:szCs w:val="18"/>
                <w:highlight w:val="none"/>
                <w:u w:val="none"/>
                <w:lang w:val="en-US" w:eastAsia="zh-CN" w:bidi="ar"/>
              </w:rPr>
              <w:t>批</w:t>
            </w: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1369.70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1369.70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1369.70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跨境电商扶持资金</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340.00</w:t>
            </w:r>
          </w:p>
        </w:tc>
        <w:tc>
          <w:tcPr>
            <w:tcW w:w="137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跨境电商扶持资金</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keepNext w:val="0"/>
              <w:keepLines w:val="0"/>
              <w:widowControl/>
              <w:suppressLineNumbers w:val="0"/>
              <w:jc w:val="center"/>
              <w:textAlignment w:val="center"/>
              <w:rPr>
                <w:rFonts w:ascii="????_GBK"/>
                <w:b w:val="0"/>
                <w:bCs/>
                <w:highlight w:val="none"/>
              </w:rPr>
            </w:pPr>
            <w:r>
              <w:rPr>
                <w:rFonts w:hint="eastAsia" w:ascii="宋体" w:hAnsi="宋体" w:eastAsia="宋体" w:cs="宋体"/>
                <w:b w:val="0"/>
                <w:bCs/>
                <w:i w:val="0"/>
                <w:color w:val="000000"/>
                <w:kern w:val="0"/>
                <w:sz w:val="18"/>
                <w:szCs w:val="18"/>
                <w:highlight w:val="none"/>
                <w:u w:val="none"/>
                <w:lang w:val="en-US" w:eastAsia="zh-CN" w:bidi="ar"/>
              </w:rPr>
              <w:t>批</w:t>
            </w: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340.00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340.00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340.00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市场采购贸易方式试点招商、宣传、推介经费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25.00</w:t>
            </w:r>
          </w:p>
        </w:tc>
        <w:tc>
          <w:tcPr>
            <w:tcW w:w="137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市场采购贸易方式试点招商、宣传、推介经费</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keepNext w:val="0"/>
              <w:keepLines w:val="0"/>
              <w:widowControl/>
              <w:suppressLineNumbers w:val="0"/>
              <w:jc w:val="center"/>
              <w:textAlignment w:val="center"/>
              <w:rPr>
                <w:rFonts w:ascii="????_GBK"/>
                <w:b w:val="0"/>
                <w:bCs/>
                <w:highlight w:val="none"/>
              </w:rPr>
            </w:pPr>
            <w:r>
              <w:rPr>
                <w:rFonts w:hint="eastAsia" w:ascii="宋体" w:hAnsi="宋体" w:eastAsia="宋体" w:cs="宋体"/>
                <w:b w:val="0"/>
                <w:bCs/>
                <w:i w:val="0"/>
                <w:color w:val="000000"/>
                <w:kern w:val="0"/>
                <w:sz w:val="18"/>
                <w:szCs w:val="18"/>
                <w:highlight w:val="none"/>
                <w:u w:val="none"/>
                <w:lang w:val="en-US" w:eastAsia="zh-CN" w:bidi="ar"/>
              </w:rPr>
              <w:t>批</w:t>
            </w: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共建学习实践基地活动经费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6.00</w:t>
            </w:r>
          </w:p>
        </w:tc>
        <w:tc>
          <w:tcPr>
            <w:tcW w:w="137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共建学习实践基地活动经费</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center"/>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市场采购贸易方式试点办公经费</w:t>
            </w:r>
          </w:p>
        </w:tc>
        <w:tc>
          <w:tcPr>
            <w:tcW w:w="925"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125.00</w:t>
            </w:r>
          </w:p>
        </w:tc>
        <w:tc>
          <w:tcPr>
            <w:tcW w:w="137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市场采购贸易方式试点办公经费</w:t>
            </w:r>
          </w:p>
        </w:tc>
        <w:tc>
          <w:tcPr>
            <w:tcW w:w="868"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w:t>
            </w:r>
          </w:p>
        </w:tc>
        <w:tc>
          <w:tcPr>
            <w:tcW w:w="664" w:type="dxa"/>
          </w:tcPr>
          <w:p>
            <w:pPr>
              <w:jc w:val="center"/>
              <w:rPr>
                <w:rFonts w:ascii="????_GBK"/>
                <w:b/>
                <w:highlight w:val="none"/>
              </w:rPr>
            </w:pPr>
          </w:p>
        </w:tc>
        <w:tc>
          <w:tcPr>
            <w:tcW w:w="800" w:type="dxa"/>
          </w:tcPr>
          <w:p>
            <w:pPr>
              <w:jc w:val="center"/>
              <w:rPr>
                <w:rFonts w:ascii="????_GBK"/>
                <w:b/>
                <w:highlight w:val="none"/>
              </w:rPr>
            </w:pPr>
          </w:p>
        </w:tc>
        <w:tc>
          <w:tcPr>
            <w:tcW w:w="783" w:type="dxa"/>
          </w:tcPr>
          <w:p>
            <w:pPr>
              <w:jc w:val="center"/>
              <w:rPr>
                <w:rFonts w:ascii="????_GBK"/>
                <w:b/>
                <w:highlight w:val="none"/>
              </w:rPr>
            </w:pPr>
          </w:p>
        </w:tc>
        <w:tc>
          <w:tcPr>
            <w:tcW w:w="102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125.00</w:t>
            </w:r>
          </w:p>
        </w:tc>
        <w:tc>
          <w:tcPr>
            <w:tcW w:w="1056"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125.00</w:t>
            </w:r>
          </w:p>
        </w:tc>
        <w:tc>
          <w:tcPr>
            <w:tcW w:w="108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125.00</w:t>
            </w:r>
          </w:p>
        </w:tc>
        <w:tc>
          <w:tcPr>
            <w:tcW w:w="766" w:type="dxa"/>
          </w:tcPr>
          <w:p>
            <w:pPr>
              <w:jc w:val="center"/>
              <w:rPr>
                <w:rFonts w:ascii="????_GBK" w:eastAsia="Times New Roman"/>
                <w:b/>
                <w:highlight w:val="none"/>
              </w:rPr>
            </w:pPr>
          </w:p>
        </w:tc>
        <w:tc>
          <w:tcPr>
            <w:tcW w:w="886" w:type="dxa"/>
          </w:tcPr>
          <w:p>
            <w:pPr>
              <w:spacing w:line="300" w:lineRule="exact"/>
              <w:jc w:val="right"/>
              <w:rPr>
                <w:rFonts w:ascii="????_GBK" w:eastAsia="Times New Roman"/>
                <w:b/>
                <w:highlight w:val="none"/>
              </w:rPr>
            </w:pPr>
          </w:p>
        </w:tc>
        <w:tc>
          <w:tcPr>
            <w:tcW w:w="800" w:type="dxa"/>
          </w:tcPr>
          <w:p>
            <w:pPr>
              <w:spacing w:line="300" w:lineRule="exact"/>
              <w:jc w:val="right"/>
              <w:rPr>
                <w:rFonts w:ascii="????_GBK" w:eastAsia="Times New Roman"/>
                <w:b/>
                <w:highlight w:val="none"/>
              </w:rPr>
            </w:pPr>
          </w:p>
        </w:tc>
        <w:tc>
          <w:tcPr>
            <w:tcW w:w="834" w:type="dxa"/>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国内外展会及白沟小商品展销会</w:t>
            </w:r>
          </w:p>
        </w:tc>
        <w:tc>
          <w:tcPr>
            <w:tcW w:w="925"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710.00</w:t>
            </w:r>
          </w:p>
        </w:tc>
        <w:tc>
          <w:tcPr>
            <w:tcW w:w="137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国内外展会及白沟小商品展销会</w:t>
            </w:r>
          </w:p>
        </w:tc>
        <w:tc>
          <w:tcPr>
            <w:tcW w:w="868"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tcPr>
          <w:p>
            <w:pPr>
              <w:jc w:val="center"/>
              <w:rPr>
                <w:rFonts w:ascii="????_GBK"/>
                <w:b/>
                <w:highlight w:val="none"/>
              </w:rPr>
            </w:pPr>
          </w:p>
        </w:tc>
        <w:tc>
          <w:tcPr>
            <w:tcW w:w="800" w:type="dxa"/>
          </w:tcPr>
          <w:p>
            <w:pPr>
              <w:jc w:val="center"/>
              <w:rPr>
                <w:rFonts w:ascii="????_GBK"/>
                <w:b/>
                <w:highlight w:val="none"/>
              </w:rPr>
            </w:pPr>
          </w:p>
        </w:tc>
        <w:tc>
          <w:tcPr>
            <w:tcW w:w="783" w:type="dxa"/>
          </w:tcPr>
          <w:p>
            <w:pPr>
              <w:jc w:val="center"/>
              <w:rPr>
                <w:rFonts w:ascii="????_GBK"/>
                <w:b/>
                <w:highlight w:val="none"/>
              </w:rPr>
            </w:pPr>
          </w:p>
        </w:tc>
        <w:tc>
          <w:tcPr>
            <w:tcW w:w="102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710.00</w:t>
            </w:r>
          </w:p>
        </w:tc>
        <w:tc>
          <w:tcPr>
            <w:tcW w:w="1056"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710.00</w:t>
            </w:r>
          </w:p>
        </w:tc>
        <w:tc>
          <w:tcPr>
            <w:tcW w:w="108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710.00</w:t>
            </w:r>
          </w:p>
        </w:tc>
        <w:tc>
          <w:tcPr>
            <w:tcW w:w="766" w:type="dxa"/>
          </w:tcPr>
          <w:p>
            <w:pPr>
              <w:jc w:val="center"/>
              <w:rPr>
                <w:rFonts w:ascii="????_GBK" w:eastAsia="Times New Roman"/>
                <w:b/>
                <w:highlight w:val="none"/>
              </w:rPr>
            </w:pPr>
          </w:p>
        </w:tc>
        <w:tc>
          <w:tcPr>
            <w:tcW w:w="886" w:type="dxa"/>
          </w:tcPr>
          <w:p>
            <w:pPr>
              <w:spacing w:line="300" w:lineRule="exact"/>
              <w:jc w:val="right"/>
              <w:rPr>
                <w:rFonts w:ascii="????_GBK" w:eastAsia="Times New Roman"/>
                <w:b/>
                <w:highlight w:val="none"/>
              </w:rPr>
            </w:pPr>
          </w:p>
        </w:tc>
        <w:tc>
          <w:tcPr>
            <w:tcW w:w="800" w:type="dxa"/>
          </w:tcPr>
          <w:p>
            <w:pPr>
              <w:spacing w:line="300" w:lineRule="exact"/>
              <w:jc w:val="right"/>
              <w:rPr>
                <w:rFonts w:ascii="????_GBK" w:eastAsia="Times New Roman"/>
                <w:b/>
                <w:highlight w:val="none"/>
              </w:rPr>
            </w:pPr>
          </w:p>
        </w:tc>
        <w:tc>
          <w:tcPr>
            <w:tcW w:w="834" w:type="dxa"/>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国际贸易港物业管理费</w:t>
            </w:r>
          </w:p>
        </w:tc>
        <w:tc>
          <w:tcPr>
            <w:tcW w:w="925"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82.00</w:t>
            </w:r>
          </w:p>
        </w:tc>
        <w:tc>
          <w:tcPr>
            <w:tcW w:w="137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国际贸易港物业管理费</w:t>
            </w:r>
          </w:p>
        </w:tc>
        <w:tc>
          <w:tcPr>
            <w:tcW w:w="868"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C1204</w:t>
            </w:r>
          </w:p>
        </w:tc>
        <w:tc>
          <w:tcPr>
            <w:tcW w:w="664" w:type="dxa"/>
          </w:tcPr>
          <w:p>
            <w:pPr>
              <w:jc w:val="center"/>
              <w:rPr>
                <w:rFonts w:ascii="????_GBK"/>
                <w:b/>
                <w:highlight w:val="none"/>
              </w:rPr>
            </w:pPr>
          </w:p>
        </w:tc>
        <w:tc>
          <w:tcPr>
            <w:tcW w:w="800" w:type="dxa"/>
          </w:tcPr>
          <w:p>
            <w:pPr>
              <w:jc w:val="center"/>
              <w:rPr>
                <w:rFonts w:ascii="????_GBK"/>
                <w:b/>
                <w:highlight w:val="none"/>
              </w:rPr>
            </w:pPr>
          </w:p>
        </w:tc>
        <w:tc>
          <w:tcPr>
            <w:tcW w:w="783" w:type="dxa"/>
          </w:tcPr>
          <w:p>
            <w:pPr>
              <w:jc w:val="center"/>
              <w:rPr>
                <w:rFonts w:ascii="????_GBK"/>
                <w:b/>
                <w:highlight w:val="none"/>
              </w:rPr>
            </w:pPr>
          </w:p>
        </w:tc>
        <w:tc>
          <w:tcPr>
            <w:tcW w:w="102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82.00</w:t>
            </w:r>
          </w:p>
        </w:tc>
        <w:tc>
          <w:tcPr>
            <w:tcW w:w="1056"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82.00</w:t>
            </w:r>
          </w:p>
        </w:tc>
        <w:tc>
          <w:tcPr>
            <w:tcW w:w="108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82.00</w:t>
            </w:r>
          </w:p>
        </w:tc>
        <w:tc>
          <w:tcPr>
            <w:tcW w:w="766" w:type="dxa"/>
          </w:tcPr>
          <w:p>
            <w:pPr>
              <w:jc w:val="center"/>
              <w:rPr>
                <w:rFonts w:ascii="????_GBK" w:eastAsia="Times New Roman"/>
                <w:b/>
                <w:highlight w:val="none"/>
              </w:rPr>
            </w:pPr>
          </w:p>
        </w:tc>
        <w:tc>
          <w:tcPr>
            <w:tcW w:w="886" w:type="dxa"/>
          </w:tcPr>
          <w:p>
            <w:pPr>
              <w:spacing w:line="300" w:lineRule="exact"/>
              <w:jc w:val="right"/>
              <w:rPr>
                <w:rFonts w:ascii="????_GBK" w:eastAsia="Times New Roman"/>
                <w:b/>
                <w:highlight w:val="none"/>
              </w:rPr>
            </w:pPr>
          </w:p>
        </w:tc>
        <w:tc>
          <w:tcPr>
            <w:tcW w:w="800" w:type="dxa"/>
          </w:tcPr>
          <w:p>
            <w:pPr>
              <w:spacing w:line="300" w:lineRule="exact"/>
              <w:jc w:val="right"/>
              <w:rPr>
                <w:rFonts w:ascii="????_GBK" w:eastAsia="Times New Roman"/>
                <w:b/>
                <w:highlight w:val="none"/>
              </w:rPr>
            </w:pPr>
          </w:p>
        </w:tc>
        <w:tc>
          <w:tcPr>
            <w:tcW w:w="834" w:type="dxa"/>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中国海关办公经费</w:t>
            </w:r>
          </w:p>
        </w:tc>
        <w:tc>
          <w:tcPr>
            <w:tcW w:w="925"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160.00</w:t>
            </w:r>
          </w:p>
        </w:tc>
        <w:tc>
          <w:tcPr>
            <w:tcW w:w="137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中国海关办公经费</w:t>
            </w:r>
          </w:p>
        </w:tc>
        <w:tc>
          <w:tcPr>
            <w:tcW w:w="868"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w:t>
            </w:r>
          </w:p>
        </w:tc>
        <w:tc>
          <w:tcPr>
            <w:tcW w:w="664" w:type="dxa"/>
          </w:tcPr>
          <w:p>
            <w:pPr>
              <w:jc w:val="center"/>
              <w:rPr>
                <w:rFonts w:ascii="????_GBK"/>
                <w:b/>
                <w:highlight w:val="none"/>
              </w:rPr>
            </w:pPr>
          </w:p>
        </w:tc>
        <w:tc>
          <w:tcPr>
            <w:tcW w:w="800" w:type="dxa"/>
          </w:tcPr>
          <w:p>
            <w:pPr>
              <w:jc w:val="center"/>
              <w:rPr>
                <w:rFonts w:ascii="????_GBK"/>
                <w:b/>
                <w:highlight w:val="none"/>
              </w:rPr>
            </w:pPr>
          </w:p>
        </w:tc>
        <w:tc>
          <w:tcPr>
            <w:tcW w:w="783" w:type="dxa"/>
          </w:tcPr>
          <w:p>
            <w:pPr>
              <w:jc w:val="center"/>
              <w:rPr>
                <w:rFonts w:ascii="????_GBK"/>
                <w:b/>
                <w:highlight w:val="none"/>
              </w:rPr>
            </w:pPr>
          </w:p>
        </w:tc>
        <w:tc>
          <w:tcPr>
            <w:tcW w:w="102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160.00</w:t>
            </w:r>
          </w:p>
        </w:tc>
        <w:tc>
          <w:tcPr>
            <w:tcW w:w="1056"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160.00</w:t>
            </w:r>
          </w:p>
        </w:tc>
        <w:tc>
          <w:tcPr>
            <w:tcW w:w="108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160.00</w:t>
            </w:r>
          </w:p>
        </w:tc>
        <w:tc>
          <w:tcPr>
            <w:tcW w:w="766" w:type="dxa"/>
          </w:tcPr>
          <w:p>
            <w:pPr>
              <w:jc w:val="center"/>
              <w:rPr>
                <w:rFonts w:ascii="????_GBK" w:eastAsia="Times New Roman"/>
                <w:b/>
                <w:highlight w:val="none"/>
              </w:rPr>
            </w:pPr>
          </w:p>
        </w:tc>
        <w:tc>
          <w:tcPr>
            <w:tcW w:w="886" w:type="dxa"/>
          </w:tcPr>
          <w:p>
            <w:pPr>
              <w:spacing w:line="300" w:lineRule="exact"/>
              <w:jc w:val="right"/>
              <w:rPr>
                <w:rFonts w:ascii="????_GBK" w:eastAsia="Times New Roman"/>
                <w:b/>
                <w:highlight w:val="none"/>
              </w:rPr>
            </w:pPr>
          </w:p>
        </w:tc>
        <w:tc>
          <w:tcPr>
            <w:tcW w:w="800" w:type="dxa"/>
          </w:tcPr>
          <w:p>
            <w:pPr>
              <w:spacing w:line="300" w:lineRule="exact"/>
              <w:jc w:val="right"/>
              <w:rPr>
                <w:rFonts w:ascii="????_GBK" w:eastAsia="Times New Roman"/>
                <w:b/>
                <w:highlight w:val="none"/>
              </w:rPr>
            </w:pPr>
          </w:p>
        </w:tc>
        <w:tc>
          <w:tcPr>
            <w:tcW w:w="834" w:type="dxa"/>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中国检验检疫办公经费</w:t>
            </w:r>
          </w:p>
        </w:tc>
        <w:tc>
          <w:tcPr>
            <w:tcW w:w="925"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37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中国检验检疫办公经费</w:t>
            </w:r>
          </w:p>
        </w:tc>
        <w:tc>
          <w:tcPr>
            <w:tcW w:w="868"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w:t>
            </w:r>
          </w:p>
        </w:tc>
        <w:tc>
          <w:tcPr>
            <w:tcW w:w="664" w:type="dxa"/>
          </w:tcPr>
          <w:p>
            <w:pPr>
              <w:jc w:val="center"/>
              <w:rPr>
                <w:rFonts w:ascii="????_GBK"/>
                <w:b/>
                <w:highlight w:val="none"/>
              </w:rPr>
            </w:pPr>
          </w:p>
        </w:tc>
        <w:tc>
          <w:tcPr>
            <w:tcW w:w="800" w:type="dxa"/>
          </w:tcPr>
          <w:p>
            <w:pPr>
              <w:jc w:val="center"/>
              <w:rPr>
                <w:rFonts w:ascii="????_GBK"/>
                <w:b/>
                <w:highlight w:val="none"/>
              </w:rPr>
            </w:pPr>
          </w:p>
        </w:tc>
        <w:tc>
          <w:tcPr>
            <w:tcW w:w="783" w:type="dxa"/>
          </w:tcPr>
          <w:p>
            <w:pPr>
              <w:jc w:val="center"/>
              <w:rPr>
                <w:rFonts w:ascii="????_GBK"/>
                <w:b/>
                <w:highlight w:val="none"/>
              </w:rPr>
            </w:pPr>
          </w:p>
        </w:tc>
        <w:tc>
          <w:tcPr>
            <w:tcW w:w="102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056"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08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766" w:type="dxa"/>
          </w:tcPr>
          <w:p>
            <w:pPr>
              <w:jc w:val="center"/>
              <w:rPr>
                <w:rFonts w:ascii="????_GBK" w:eastAsia="Times New Roman"/>
                <w:b/>
                <w:highlight w:val="none"/>
              </w:rPr>
            </w:pPr>
          </w:p>
        </w:tc>
        <w:tc>
          <w:tcPr>
            <w:tcW w:w="886" w:type="dxa"/>
          </w:tcPr>
          <w:p>
            <w:pPr>
              <w:spacing w:line="300" w:lineRule="exact"/>
              <w:jc w:val="right"/>
              <w:rPr>
                <w:rFonts w:ascii="????_GBK" w:eastAsia="Times New Roman"/>
                <w:b/>
                <w:highlight w:val="none"/>
              </w:rPr>
            </w:pPr>
          </w:p>
        </w:tc>
        <w:tc>
          <w:tcPr>
            <w:tcW w:w="800" w:type="dxa"/>
          </w:tcPr>
          <w:p>
            <w:pPr>
              <w:spacing w:line="300" w:lineRule="exact"/>
              <w:jc w:val="right"/>
              <w:rPr>
                <w:rFonts w:ascii="????_GBK" w:eastAsia="Times New Roman"/>
                <w:b/>
                <w:highlight w:val="none"/>
              </w:rPr>
            </w:pPr>
          </w:p>
        </w:tc>
        <w:tc>
          <w:tcPr>
            <w:tcW w:w="834" w:type="dxa"/>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视觉识别系统(VI)</w:t>
            </w:r>
          </w:p>
        </w:tc>
        <w:tc>
          <w:tcPr>
            <w:tcW w:w="925"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28.00</w:t>
            </w:r>
          </w:p>
        </w:tc>
        <w:tc>
          <w:tcPr>
            <w:tcW w:w="137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视觉识别系统(VI)</w:t>
            </w:r>
          </w:p>
        </w:tc>
        <w:tc>
          <w:tcPr>
            <w:tcW w:w="868"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C99</w:t>
            </w:r>
          </w:p>
        </w:tc>
        <w:tc>
          <w:tcPr>
            <w:tcW w:w="664" w:type="dxa"/>
          </w:tcPr>
          <w:p>
            <w:pPr>
              <w:jc w:val="center"/>
              <w:rPr>
                <w:rFonts w:ascii="????_GBK"/>
                <w:b/>
                <w:highlight w:val="none"/>
              </w:rPr>
            </w:pPr>
          </w:p>
        </w:tc>
        <w:tc>
          <w:tcPr>
            <w:tcW w:w="800" w:type="dxa"/>
          </w:tcPr>
          <w:p>
            <w:pPr>
              <w:jc w:val="center"/>
              <w:rPr>
                <w:rFonts w:ascii="????_GBK"/>
                <w:b/>
                <w:highlight w:val="none"/>
              </w:rPr>
            </w:pPr>
          </w:p>
        </w:tc>
        <w:tc>
          <w:tcPr>
            <w:tcW w:w="783" w:type="dxa"/>
          </w:tcPr>
          <w:p>
            <w:pPr>
              <w:jc w:val="center"/>
              <w:rPr>
                <w:rFonts w:ascii="????_GBK"/>
                <w:b/>
                <w:highlight w:val="none"/>
              </w:rPr>
            </w:pPr>
          </w:p>
        </w:tc>
        <w:tc>
          <w:tcPr>
            <w:tcW w:w="102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28.00</w:t>
            </w:r>
          </w:p>
        </w:tc>
        <w:tc>
          <w:tcPr>
            <w:tcW w:w="1056"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28.00</w:t>
            </w:r>
          </w:p>
        </w:tc>
        <w:tc>
          <w:tcPr>
            <w:tcW w:w="108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28.00</w:t>
            </w:r>
          </w:p>
        </w:tc>
        <w:tc>
          <w:tcPr>
            <w:tcW w:w="766" w:type="dxa"/>
          </w:tcPr>
          <w:p>
            <w:pPr>
              <w:jc w:val="center"/>
              <w:rPr>
                <w:rFonts w:ascii="????_GBK" w:eastAsia="Times New Roman"/>
                <w:b/>
                <w:highlight w:val="none"/>
              </w:rPr>
            </w:pPr>
          </w:p>
        </w:tc>
        <w:tc>
          <w:tcPr>
            <w:tcW w:w="886" w:type="dxa"/>
          </w:tcPr>
          <w:p>
            <w:pPr>
              <w:spacing w:line="300" w:lineRule="exact"/>
              <w:jc w:val="right"/>
              <w:rPr>
                <w:rFonts w:ascii="????_GBK" w:eastAsia="Times New Roman"/>
                <w:b/>
                <w:highlight w:val="none"/>
              </w:rPr>
            </w:pPr>
          </w:p>
        </w:tc>
        <w:tc>
          <w:tcPr>
            <w:tcW w:w="800" w:type="dxa"/>
          </w:tcPr>
          <w:p>
            <w:pPr>
              <w:spacing w:line="300" w:lineRule="exact"/>
              <w:jc w:val="right"/>
              <w:rPr>
                <w:rFonts w:ascii="????_GBK" w:eastAsia="Times New Roman"/>
                <w:b/>
                <w:highlight w:val="none"/>
              </w:rPr>
            </w:pPr>
          </w:p>
        </w:tc>
        <w:tc>
          <w:tcPr>
            <w:tcW w:w="834" w:type="dxa"/>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20"/>
                <w:szCs w:val="20"/>
                <w:highlight w:val="none"/>
                <w:u w:val="none"/>
                <w:lang w:val="en-US" w:eastAsia="zh-CN" w:bidi="ar"/>
              </w:rPr>
              <w:t>市场采购贸易方式出口产品第三方审核经费</w:t>
            </w:r>
          </w:p>
        </w:tc>
        <w:tc>
          <w:tcPr>
            <w:tcW w:w="925"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37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20"/>
                <w:szCs w:val="20"/>
                <w:highlight w:val="none"/>
                <w:u w:val="none"/>
                <w:lang w:val="en-US" w:eastAsia="zh-CN" w:bidi="ar"/>
              </w:rPr>
              <w:t>市场采购贸易方式出口产品第三方审核经费</w:t>
            </w:r>
          </w:p>
        </w:tc>
        <w:tc>
          <w:tcPr>
            <w:tcW w:w="868"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C0803</w:t>
            </w:r>
          </w:p>
        </w:tc>
        <w:tc>
          <w:tcPr>
            <w:tcW w:w="664" w:type="dxa"/>
          </w:tcPr>
          <w:p>
            <w:pPr>
              <w:jc w:val="center"/>
              <w:rPr>
                <w:rFonts w:ascii="????_GBK"/>
                <w:b/>
                <w:highlight w:val="none"/>
              </w:rPr>
            </w:pPr>
          </w:p>
        </w:tc>
        <w:tc>
          <w:tcPr>
            <w:tcW w:w="800" w:type="dxa"/>
          </w:tcPr>
          <w:p>
            <w:pPr>
              <w:jc w:val="center"/>
              <w:rPr>
                <w:rFonts w:ascii="????_GBK"/>
                <w:b/>
                <w:highlight w:val="none"/>
              </w:rPr>
            </w:pPr>
          </w:p>
        </w:tc>
        <w:tc>
          <w:tcPr>
            <w:tcW w:w="783" w:type="dxa"/>
          </w:tcPr>
          <w:p>
            <w:pPr>
              <w:jc w:val="center"/>
              <w:rPr>
                <w:rFonts w:ascii="????_GBK"/>
                <w:b/>
                <w:highlight w:val="none"/>
              </w:rPr>
            </w:pPr>
          </w:p>
        </w:tc>
        <w:tc>
          <w:tcPr>
            <w:tcW w:w="102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056"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089"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766" w:type="dxa"/>
          </w:tcPr>
          <w:p>
            <w:pPr>
              <w:jc w:val="center"/>
              <w:rPr>
                <w:rFonts w:ascii="????_GBK" w:eastAsia="Times New Roman"/>
                <w:b/>
                <w:highlight w:val="none"/>
              </w:rPr>
            </w:pPr>
          </w:p>
        </w:tc>
        <w:tc>
          <w:tcPr>
            <w:tcW w:w="886" w:type="dxa"/>
          </w:tcPr>
          <w:p>
            <w:pPr>
              <w:spacing w:line="300" w:lineRule="exact"/>
              <w:jc w:val="right"/>
              <w:rPr>
                <w:rFonts w:ascii="????_GBK" w:eastAsia="Times New Roman"/>
                <w:b/>
                <w:highlight w:val="none"/>
              </w:rPr>
            </w:pPr>
          </w:p>
        </w:tc>
        <w:tc>
          <w:tcPr>
            <w:tcW w:w="800" w:type="dxa"/>
          </w:tcPr>
          <w:p>
            <w:pPr>
              <w:spacing w:line="300" w:lineRule="exact"/>
              <w:jc w:val="right"/>
              <w:rPr>
                <w:rFonts w:ascii="????_GBK" w:eastAsia="Times New Roman"/>
                <w:b/>
                <w:highlight w:val="none"/>
              </w:rPr>
            </w:pPr>
          </w:p>
        </w:tc>
        <w:tc>
          <w:tcPr>
            <w:tcW w:w="834" w:type="dxa"/>
          </w:tcPr>
          <w:p>
            <w:pPr>
              <w:keepNext w:val="0"/>
              <w:keepLines w:val="0"/>
              <w:widowControl/>
              <w:suppressLineNumbers w:val="0"/>
              <w:jc w:val="center"/>
              <w:textAlignment w:val="center"/>
              <w:rPr>
                <w:rFonts w:hint="eastAsia" w:ascii="????_GBK"/>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日常办公设备</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2.70</w:t>
            </w:r>
          </w:p>
        </w:tc>
        <w:tc>
          <w:tcPr>
            <w:tcW w:w="1379" w:type="dxa"/>
            <w:shd w:val="clear" w:color="auto" w:fill="auto"/>
            <w:vAlign w:val="center"/>
          </w:tcPr>
          <w:p>
            <w:pPr>
              <w:keepNext w:val="0"/>
              <w:keepLines w:val="0"/>
              <w:widowControl/>
              <w:suppressLineNumbers w:val="0"/>
              <w:jc w:val="center"/>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计算机软件及设备</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A0201</w:t>
            </w:r>
          </w:p>
        </w:tc>
        <w:tc>
          <w:tcPr>
            <w:tcW w:w="664" w:type="dxa"/>
            <w:shd w:val="clear" w:color="auto" w:fill="auto"/>
            <w:vAlign w:val="center"/>
          </w:tcPr>
          <w:p>
            <w:pPr>
              <w:keepNext w:val="0"/>
              <w:keepLines w:val="0"/>
              <w:widowControl/>
              <w:suppressLineNumbers w:val="0"/>
              <w:jc w:val="left"/>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0.45</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6.00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2.70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2.70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2.70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color w:val="000000" w:themeColor="text1"/>
                <w:highlight w:val="none"/>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消耗用品及类似物品</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消耗用品及类似物品</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A09</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eastAsia="Times New Roman"/>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日常办公设备</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多功能一体机</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A020204</w:t>
            </w:r>
          </w:p>
        </w:tc>
        <w:tc>
          <w:tcPr>
            <w:tcW w:w="664" w:type="dxa"/>
            <w:shd w:val="clear" w:color="auto" w:fill="auto"/>
            <w:vAlign w:val="center"/>
          </w:tcPr>
          <w:p>
            <w:pPr>
              <w:keepNext w:val="0"/>
              <w:keepLines w:val="0"/>
              <w:widowControl/>
              <w:suppressLineNumbers w:val="0"/>
              <w:jc w:val="left"/>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日常办公设备</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0.32</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资料柜</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A06</w:t>
            </w:r>
          </w:p>
        </w:tc>
        <w:tc>
          <w:tcPr>
            <w:tcW w:w="664" w:type="dxa"/>
            <w:shd w:val="clear" w:color="auto" w:fill="auto"/>
            <w:vAlign w:val="center"/>
          </w:tcPr>
          <w:p>
            <w:pPr>
              <w:keepNext w:val="0"/>
              <w:keepLines w:val="0"/>
              <w:widowControl/>
              <w:suppressLineNumbers w:val="0"/>
              <w:jc w:val="left"/>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00"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0.08</w:t>
            </w:r>
          </w:p>
        </w:tc>
        <w:tc>
          <w:tcPr>
            <w:tcW w:w="783"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4.00</w:t>
            </w: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0.32</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0.32</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0.32</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办公设备维修和保养</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办公设备维护与修养</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C0502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创建省级文明城市宣传经费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25.00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创建省级文明城市办公经费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消耗用品及类似物品</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A09</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理论中心组学习经费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图书</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A0501</w:t>
            </w:r>
          </w:p>
        </w:tc>
        <w:tc>
          <w:tcPr>
            <w:tcW w:w="664" w:type="dxa"/>
            <w:shd w:val="clear" w:color="auto" w:fill="auto"/>
            <w:vAlign w:val="center"/>
          </w:tcPr>
          <w:p>
            <w:pPr>
              <w:keepNext w:val="0"/>
              <w:keepLines w:val="0"/>
              <w:widowControl/>
              <w:suppressLineNumbers w:val="0"/>
              <w:jc w:val="left"/>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理论中心组学习经费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印刷品</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A0802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理论中心组学习经费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消耗用品及类似物品</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A09</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道德模范慰问金</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社会救济服务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2"/>
                <w:szCs w:val="12"/>
                <w:highlight w:val="none"/>
                <w:u w:val="none"/>
                <w:lang w:val="en-US" w:eastAsia="zh-CN" w:bidi="ar"/>
              </w:rPr>
              <w:t>C190202</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0.50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keepNext w:val="0"/>
              <w:keepLines w:val="0"/>
              <w:widowControl/>
              <w:suppressLineNumbers w:val="0"/>
              <w:jc w:val="center"/>
              <w:textAlignment w:val="center"/>
              <w:rPr>
                <w:rFonts w:hint="eastAsia" w:ascii="????_GBK" w:eastAsia="宋体"/>
                <w:b/>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北京电视台天气预报宣传费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172.76</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172.76</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172.76</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172.76</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河北新闻网频道新城频道宣传费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党政新闻客户端建设费用</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保定日报宣传费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30.00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河北日报宣传费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燕赵都市报宣传费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河北经济日报宣传费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6.80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6.80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6.80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6.80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保定电视台宣传费直通县市区栏目</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中新社宣传费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4.40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4.40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4.40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4.40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学习</w:t>
            </w:r>
            <w:r>
              <w:rPr>
                <w:rFonts w:hint="eastAsia" w:ascii="宋体" w:hAnsi="宋体" w:cs="宋体"/>
                <w:i w:val="0"/>
                <w:color w:val="000000"/>
                <w:kern w:val="0"/>
                <w:sz w:val="18"/>
                <w:szCs w:val="18"/>
                <w:highlight w:val="none"/>
                <w:u w:val="none"/>
                <w:lang w:val="en-US" w:eastAsia="zh-CN" w:bidi="ar"/>
              </w:rPr>
              <w:t>党的</w:t>
            </w:r>
            <w:r>
              <w:rPr>
                <w:rFonts w:hint="eastAsia" w:ascii="宋体" w:hAnsi="宋体" w:eastAsia="宋体" w:cs="宋体"/>
                <w:i w:val="0"/>
                <w:color w:val="000000"/>
                <w:kern w:val="0"/>
                <w:sz w:val="18"/>
                <w:szCs w:val="18"/>
                <w:highlight w:val="none"/>
                <w:u w:val="none"/>
                <w:lang w:val="en-US" w:eastAsia="zh-CN" w:bidi="ar"/>
              </w:rPr>
              <w:t>十九大精神宣传费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15.00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公益广告宣传费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中央电视台宣传白沟新城专题片制作费及播出费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200.00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省级以上媒体宣传费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北京公交地铁车载电视全覆盖循环播放白沟宣传片费</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100.00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ascii="????_GBK" w:eastAsia="Times New Roman"/>
                <w:b/>
                <w:highlight w:val="none"/>
              </w:rPr>
            </w:pPr>
            <w:r>
              <w:rPr>
                <w:rFonts w:hint="eastAsia" w:ascii="宋体" w:hAnsi="宋体" w:eastAsia="宋体" w:cs="宋体"/>
                <w:i w:val="0"/>
                <w:color w:val="000000"/>
                <w:kern w:val="0"/>
                <w:sz w:val="18"/>
                <w:szCs w:val="18"/>
                <w:highlight w:val="none"/>
                <w:u w:val="none"/>
                <w:lang w:val="en-US" w:eastAsia="zh-CN" w:bidi="ar"/>
              </w:rPr>
              <w:t>其他宣传支出</w:t>
            </w:r>
          </w:p>
        </w:tc>
        <w:tc>
          <w:tcPr>
            <w:tcW w:w="925"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379" w:type="dxa"/>
            <w:shd w:val="clear" w:color="auto" w:fill="auto"/>
            <w:vAlign w:val="center"/>
          </w:tcPr>
          <w:p>
            <w:pPr>
              <w:keepNext w:val="0"/>
              <w:keepLines w:val="0"/>
              <w:widowControl/>
              <w:suppressLineNumbers w:val="0"/>
              <w:jc w:val="left"/>
              <w:textAlignment w:val="center"/>
              <w:rPr>
                <w:rFonts w:ascii="????_GBK"/>
                <w:b/>
                <w:sz w:val="18"/>
                <w:szCs w:val="18"/>
                <w:highlight w:val="none"/>
              </w:rPr>
            </w:pPr>
            <w:r>
              <w:rPr>
                <w:rFonts w:hint="eastAsia" w:ascii="宋体" w:hAnsi="宋体" w:eastAsia="宋体" w:cs="宋体"/>
                <w:i w:val="0"/>
                <w:color w:val="000000"/>
                <w:kern w:val="0"/>
                <w:sz w:val="18"/>
                <w:szCs w:val="18"/>
                <w:highlight w:val="none"/>
                <w:u w:val="none"/>
                <w:lang w:val="en-US" w:eastAsia="zh-CN" w:bidi="ar"/>
              </w:rPr>
              <w:t>广告服务</w:t>
            </w:r>
          </w:p>
        </w:tc>
        <w:tc>
          <w:tcPr>
            <w:tcW w:w="868"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C0806</w:t>
            </w:r>
          </w:p>
        </w:tc>
        <w:tc>
          <w:tcPr>
            <w:tcW w:w="664" w:type="dxa"/>
            <w:shd w:val="clear" w:color="auto" w:fill="auto"/>
            <w:vAlign w:val="center"/>
          </w:tcPr>
          <w:p>
            <w:pPr>
              <w:jc w:val="left"/>
              <w:rPr>
                <w:rFonts w:ascii="????_GBK"/>
                <w:b/>
                <w:highlight w:val="none"/>
              </w:rPr>
            </w:pPr>
          </w:p>
        </w:tc>
        <w:tc>
          <w:tcPr>
            <w:tcW w:w="800" w:type="dxa"/>
            <w:shd w:val="clear" w:color="auto" w:fill="auto"/>
            <w:vAlign w:val="center"/>
          </w:tcPr>
          <w:p>
            <w:pPr>
              <w:jc w:val="center"/>
              <w:rPr>
                <w:rFonts w:ascii="????_GBK"/>
                <w:b/>
                <w:highlight w:val="none"/>
              </w:rPr>
            </w:pPr>
          </w:p>
        </w:tc>
        <w:tc>
          <w:tcPr>
            <w:tcW w:w="783" w:type="dxa"/>
            <w:shd w:val="clear" w:color="auto" w:fill="auto"/>
            <w:vAlign w:val="center"/>
          </w:tcPr>
          <w:p>
            <w:pPr>
              <w:jc w:val="center"/>
              <w:rPr>
                <w:rFonts w:ascii="????_GBK"/>
                <w:b/>
                <w:highlight w:val="none"/>
              </w:rPr>
            </w:pPr>
          </w:p>
        </w:tc>
        <w:tc>
          <w:tcPr>
            <w:tcW w:w="1022"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056"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1089" w:type="dxa"/>
            <w:shd w:val="clear" w:color="auto" w:fill="auto"/>
            <w:vAlign w:val="center"/>
          </w:tcPr>
          <w:p>
            <w:pPr>
              <w:keepNext w:val="0"/>
              <w:keepLines w:val="0"/>
              <w:widowControl/>
              <w:suppressLineNumbers w:val="0"/>
              <w:jc w:val="center"/>
              <w:textAlignment w:val="center"/>
              <w:rPr>
                <w:rFonts w:ascii="????_GBK"/>
                <w:b/>
                <w:highlight w:val="none"/>
              </w:rPr>
            </w:pPr>
            <w:r>
              <w:rPr>
                <w:rFonts w:hint="eastAsia" w:ascii="宋体" w:hAnsi="宋体" w:eastAsia="宋体" w:cs="宋体"/>
                <w:i w:val="0"/>
                <w:color w:val="000000"/>
                <w:kern w:val="0"/>
                <w:sz w:val="18"/>
                <w:szCs w:val="18"/>
                <w:highlight w:val="none"/>
                <w:u w:val="none"/>
                <w:lang w:val="en-US" w:eastAsia="zh-CN" w:bidi="ar"/>
              </w:rPr>
              <w:t>50.00</w:t>
            </w:r>
          </w:p>
        </w:tc>
        <w:tc>
          <w:tcPr>
            <w:tcW w:w="766" w:type="dxa"/>
            <w:shd w:val="clear" w:color="auto" w:fill="auto"/>
            <w:vAlign w:val="center"/>
          </w:tcPr>
          <w:p>
            <w:pPr>
              <w:jc w:val="center"/>
              <w:rPr>
                <w:rFonts w:ascii="????_GBK" w:eastAsia="Times New Roman"/>
                <w:b/>
                <w:highlight w:val="none"/>
              </w:rPr>
            </w:pPr>
          </w:p>
        </w:tc>
        <w:tc>
          <w:tcPr>
            <w:tcW w:w="886" w:type="dxa"/>
            <w:shd w:val="clear" w:color="auto" w:fill="auto"/>
            <w:vAlign w:val="center"/>
          </w:tcPr>
          <w:p>
            <w:pPr>
              <w:spacing w:line="300" w:lineRule="exact"/>
              <w:jc w:val="right"/>
              <w:rPr>
                <w:rFonts w:ascii="????_GBK" w:eastAsia="Times New Roman"/>
                <w:b/>
                <w:highlight w:val="none"/>
              </w:rPr>
            </w:pPr>
          </w:p>
        </w:tc>
        <w:tc>
          <w:tcPr>
            <w:tcW w:w="800" w:type="dxa"/>
            <w:shd w:val="clear" w:color="auto" w:fill="auto"/>
            <w:vAlign w:val="center"/>
          </w:tcPr>
          <w:p>
            <w:pPr>
              <w:spacing w:line="300" w:lineRule="exact"/>
              <w:jc w:val="right"/>
              <w:rPr>
                <w:rFonts w:ascii="????_GBK" w:eastAsia="Times New Roman"/>
                <w:b/>
                <w:highlight w:val="none"/>
              </w:rPr>
            </w:pPr>
          </w:p>
        </w:tc>
        <w:tc>
          <w:tcPr>
            <w:tcW w:w="834" w:type="dxa"/>
            <w:shd w:val="clear" w:color="auto" w:fill="auto"/>
            <w:vAlign w:val="center"/>
          </w:tcPr>
          <w:p>
            <w:pPr>
              <w:jc w:val="center"/>
              <w:rPr>
                <w:rFonts w:hint="eastAsia" w:ascii="????_GBK" w:eastAsia="宋体"/>
                <w:b/>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体彩公益金支出</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120.00</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体育设备</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A0336</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批</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120.00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100.00</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100.00</w:t>
            </w: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体彩公益金支出</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50.00</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文化体育娱乐服务</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C20</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50.00</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50.00</w:t>
            </w: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中央补助公共文化服务建设专项资金</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4.40</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投影幕</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A020202</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4.40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2.20</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2.20</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中央补助公共文化服务建设专项资金</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4.40</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投影仪</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A020203</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4.40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2.20</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2.20</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中央补助公共文化服务建设专项资金</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4.40</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组合音响设备</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a020913</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4.40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2.20</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2.20</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中央补助公共文化服务建设专项资金</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3.30</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图书</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A0501</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批</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3.30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3.30</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3.30</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中央补助公共文化服务建设专项资金</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7.92</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体育设备</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A0336</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批</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7.92</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3.96</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3.96</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中央补助公共文化服务建设专项资金</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15.84</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文艺设备</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A0335</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批</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15.84</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7.92</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7.92</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中央补助公共文化服务建设专项资金（奖励性绩效）</w:t>
            </w: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40.00</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文化体育娱乐服务</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C20</w:t>
            </w: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40.00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15.00</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15.00</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（3匹）空调</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0.7</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空调</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[A02]</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0.7</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0.7</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0.7</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（A3）复印一体机</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复印机</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[A02010601]</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天翼云服务器</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云服务器</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[A02010103]</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网络存储服务器</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存储服务器</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[A02010103]</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广告彩页</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0.37</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彩页</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0.37</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0.37</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0.37</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广告条幅</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0.54</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条幅</w:t>
            </w:r>
          </w:p>
        </w:tc>
        <w:tc>
          <w:tcPr>
            <w:tcW w:w="8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[A]</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6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0.54</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0.54</w:t>
            </w:r>
          </w:p>
        </w:tc>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0.54</w:t>
            </w:r>
          </w:p>
        </w:tc>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86"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00"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834" w:type="dxa"/>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r>
    </w:tbl>
    <w:p>
      <w:pPr>
        <w:jc w:val="center"/>
        <w:rPr>
          <w:rFonts w:ascii="黑体" w:hAnsi="黑体" w:eastAsia="黑体"/>
          <w:sz w:val="32"/>
          <w:szCs w:val="32"/>
          <w:highlight w:val="none"/>
        </w:rPr>
      </w:pPr>
      <w:r>
        <w:rPr>
          <w:rFonts w:hint="eastAsia" w:ascii="黑体" w:hAnsi="黑体" w:eastAsia="黑体"/>
          <w:sz w:val="32"/>
          <w:szCs w:val="32"/>
          <w:highlight w:val="none"/>
        </w:rPr>
        <w:t>第七部分：国有资产信息情况说明</w:t>
      </w:r>
    </w:p>
    <w:p>
      <w:pPr>
        <w:ind w:firstLine="600" w:firstLineChars="200"/>
        <w:jc w:val="left"/>
        <w:rPr>
          <w:rFonts w:ascii="仿宋" w:hAnsi="仿宋" w:eastAsia="仿宋"/>
          <w:sz w:val="32"/>
          <w:szCs w:val="32"/>
          <w:highlight w:val="none"/>
        </w:rPr>
      </w:pPr>
      <w:r>
        <w:rPr>
          <w:rFonts w:hint="eastAsia" w:ascii="仿宋" w:hAnsi="仿宋" w:eastAsia="仿宋" w:cs="宋体"/>
          <w:sz w:val="30"/>
          <w:szCs w:val="30"/>
          <w:highlight w:val="none"/>
        </w:rPr>
        <w:t>我</w:t>
      </w:r>
      <w:r>
        <w:rPr>
          <w:rFonts w:hint="eastAsia" w:ascii="仿宋" w:hAnsi="仿宋" w:eastAsia="仿宋" w:cs="宋体"/>
          <w:sz w:val="30"/>
          <w:szCs w:val="30"/>
          <w:highlight w:val="none"/>
          <w:lang w:eastAsia="zh-CN"/>
        </w:rPr>
        <w:t>单位</w:t>
      </w:r>
      <w:r>
        <w:rPr>
          <w:rFonts w:ascii="仿宋" w:hAnsi="仿宋" w:eastAsia="仿宋" w:cs="宋体"/>
          <w:sz w:val="30"/>
          <w:szCs w:val="30"/>
          <w:highlight w:val="none"/>
        </w:rPr>
        <w:t>201</w:t>
      </w:r>
      <w:r>
        <w:rPr>
          <w:rFonts w:hint="eastAsia" w:ascii="仿宋" w:hAnsi="仿宋" w:eastAsia="仿宋" w:cs="宋体"/>
          <w:sz w:val="30"/>
          <w:szCs w:val="30"/>
          <w:highlight w:val="none"/>
          <w:lang w:val="en-US" w:eastAsia="zh-CN"/>
        </w:rPr>
        <w:t>7</w:t>
      </w:r>
      <w:r>
        <w:rPr>
          <w:rFonts w:hint="eastAsia" w:ascii="仿宋" w:hAnsi="仿宋" w:eastAsia="仿宋" w:cs="宋体"/>
          <w:sz w:val="30"/>
          <w:szCs w:val="30"/>
          <w:highlight w:val="none"/>
        </w:rPr>
        <w:t>年末固定资产总额</w:t>
      </w:r>
      <w:r>
        <w:rPr>
          <w:rFonts w:hint="eastAsia" w:ascii="仿宋" w:hAnsi="仿宋" w:eastAsia="仿宋" w:cs="宋体"/>
          <w:sz w:val="30"/>
          <w:szCs w:val="30"/>
          <w:highlight w:val="none"/>
          <w:lang w:val="en-US" w:eastAsia="zh-CN"/>
        </w:rPr>
        <w:t xml:space="preserve"> </w:t>
      </w:r>
      <w:r>
        <w:rPr>
          <w:rFonts w:hint="eastAsia" w:ascii="仿宋" w:hAnsi="仿宋" w:eastAsia="仿宋" w:cs="宋体"/>
          <w:sz w:val="30"/>
          <w:szCs w:val="30"/>
          <w:highlight w:val="none"/>
        </w:rPr>
        <w:t>万元。</w:t>
      </w:r>
      <w:r>
        <w:rPr>
          <w:rFonts w:ascii="仿宋" w:hAnsi="仿宋" w:eastAsia="仿宋"/>
          <w:sz w:val="32"/>
          <w:szCs w:val="32"/>
          <w:highlight w:val="none"/>
        </w:rPr>
        <w:t>201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年拟购置固定资产</w:t>
      </w:r>
      <w:r>
        <w:rPr>
          <w:rFonts w:hint="eastAsia" w:ascii="仿宋" w:hAnsi="仿宋" w:eastAsia="仿宋"/>
          <w:sz w:val="32"/>
          <w:szCs w:val="32"/>
          <w:highlight w:val="none"/>
          <w:lang w:val="en-US" w:eastAsia="zh-CN"/>
        </w:rPr>
        <w:t>28.19</w:t>
      </w:r>
      <w:r>
        <w:rPr>
          <w:rFonts w:hint="eastAsia" w:ascii="仿宋" w:hAnsi="仿宋" w:eastAsia="仿宋"/>
          <w:sz w:val="32"/>
          <w:szCs w:val="32"/>
          <w:highlight w:val="none"/>
        </w:rPr>
        <w:t>万元，主要为</w:t>
      </w:r>
      <w:r>
        <w:rPr>
          <w:rFonts w:hint="eastAsia" w:ascii="仿宋" w:hAnsi="仿宋" w:eastAsia="仿宋"/>
          <w:sz w:val="32"/>
          <w:szCs w:val="32"/>
          <w:highlight w:val="none"/>
          <w:lang w:val="en-US" w:eastAsia="zh-CN"/>
        </w:rPr>
        <w:t>办公设备、办公家具</w:t>
      </w:r>
      <w:r>
        <w:rPr>
          <w:rFonts w:hint="eastAsia" w:ascii="仿宋" w:hAnsi="仿宋" w:eastAsia="仿宋"/>
          <w:sz w:val="32"/>
          <w:szCs w:val="32"/>
          <w:highlight w:val="none"/>
        </w:rPr>
        <w:t>，</w:t>
      </w:r>
      <w:r>
        <w:rPr>
          <w:rFonts w:hint="eastAsia" w:ascii="仿宋" w:hAnsi="仿宋" w:eastAsia="仿宋"/>
          <w:sz w:val="32"/>
          <w:szCs w:val="32"/>
          <w:highlight w:val="none"/>
          <w:lang w:eastAsia="zh-CN"/>
        </w:rPr>
        <w:t>并</w:t>
      </w:r>
      <w:r>
        <w:rPr>
          <w:rFonts w:hint="eastAsia" w:ascii="仿宋" w:hAnsi="仿宋" w:eastAsia="仿宋"/>
          <w:sz w:val="32"/>
          <w:szCs w:val="32"/>
          <w:highlight w:val="none"/>
        </w:rPr>
        <w:t>已列入政府采购预算</w:t>
      </w:r>
      <w:r>
        <w:rPr>
          <w:rFonts w:hint="eastAsia" w:ascii="仿宋" w:hAnsi="仿宋" w:eastAsia="仿宋"/>
          <w:sz w:val="32"/>
          <w:szCs w:val="32"/>
          <w:highlight w:val="none"/>
          <w:lang w:eastAsia="zh-CN"/>
        </w:rPr>
        <w:t>。</w:t>
      </w:r>
    </w:p>
    <w:p>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年国有资产占有情况见下表：</w:t>
      </w:r>
    </w:p>
    <w:tbl>
      <w:tblPr>
        <w:tblStyle w:val="5"/>
        <w:tblW w:w="14174" w:type="dxa"/>
        <w:tblInd w:w="0" w:type="dxa"/>
        <w:tblLayout w:type="fixed"/>
        <w:tblCellMar>
          <w:top w:w="0" w:type="dxa"/>
          <w:left w:w="108" w:type="dxa"/>
          <w:bottom w:w="0" w:type="dxa"/>
          <w:right w:w="108" w:type="dxa"/>
        </w:tblCellMar>
      </w:tblPr>
      <w:tblGrid>
        <w:gridCol w:w="5142"/>
        <w:gridCol w:w="2851"/>
        <w:gridCol w:w="6181"/>
      </w:tblGrid>
      <w:tr>
        <w:tblPrEx>
          <w:tblCellMar>
            <w:top w:w="0" w:type="dxa"/>
            <w:left w:w="108" w:type="dxa"/>
            <w:bottom w:w="0" w:type="dxa"/>
            <w:right w:w="108" w:type="dxa"/>
          </w:tblCellMar>
        </w:tblPrEx>
        <w:trPr>
          <w:trHeight w:val="315" w:hRule="atLeast"/>
        </w:trPr>
        <w:tc>
          <w:tcPr>
            <w:tcW w:w="7993" w:type="dxa"/>
            <w:gridSpan w:val="2"/>
            <w:tcBorders>
              <w:top w:val="nil"/>
              <w:left w:val="nil"/>
              <w:bottom w:val="nil"/>
              <w:right w:val="nil"/>
            </w:tcBorders>
            <w:vAlign w:val="bottom"/>
          </w:tcPr>
          <w:p>
            <w:pPr>
              <w:widowControl/>
              <w:jc w:val="left"/>
              <w:rPr>
                <w:rFonts w:ascii="宋体" w:cs="Arial"/>
                <w:color w:val="000000"/>
                <w:kern w:val="0"/>
                <w:sz w:val="24"/>
                <w:highlight w:val="none"/>
              </w:rPr>
            </w:pPr>
            <w:r>
              <w:rPr>
                <w:rFonts w:hint="eastAsia" w:ascii="宋体" w:hAnsi="宋体" w:cs="Arial"/>
                <w:color w:val="000000"/>
                <w:kern w:val="0"/>
                <w:sz w:val="24"/>
                <w:highlight w:val="none"/>
              </w:rPr>
              <w:t>编制单位</w:t>
            </w:r>
            <w:r>
              <w:rPr>
                <w:rFonts w:hint="eastAsia" w:ascii="宋体" w:hAnsi="宋体" w:cs="Arial"/>
                <w:color w:val="000000"/>
                <w:kern w:val="0"/>
                <w:sz w:val="24"/>
                <w:highlight w:val="none"/>
                <w:lang w:eastAsia="zh-CN"/>
              </w:rPr>
              <w:t>：白沟新城白沟镇综合文化服务中心</w:t>
            </w:r>
          </w:p>
        </w:tc>
        <w:tc>
          <w:tcPr>
            <w:tcW w:w="6181" w:type="dxa"/>
            <w:tcBorders>
              <w:top w:val="nil"/>
              <w:left w:val="nil"/>
              <w:bottom w:val="nil"/>
              <w:right w:val="nil"/>
            </w:tcBorders>
            <w:vAlign w:val="bottom"/>
          </w:tcPr>
          <w:p>
            <w:pPr>
              <w:widowControl/>
              <w:jc w:val="center"/>
              <w:rPr>
                <w:rFonts w:ascii="宋体" w:cs="Arial"/>
                <w:color w:val="000000"/>
                <w:kern w:val="0"/>
                <w:sz w:val="24"/>
                <w:highlight w:val="none"/>
              </w:rPr>
            </w:pPr>
            <w:r>
              <w:rPr>
                <w:rFonts w:ascii="宋体" w:hAnsi="宋体" w:cs="Arial"/>
                <w:color w:val="000000"/>
                <w:kern w:val="0"/>
                <w:sz w:val="24"/>
                <w:highlight w:val="none"/>
              </w:rPr>
              <w:t>201</w:t>
            </w:r>
            <w:r>
              <w:rPr>
                <w:rFonts w:hint="eastAsia" w:ascii="宋体" w:hAnsi="宋体" w:cs="Arial"/>
                <w:color w:val="000000"/>
                <w:kern w:val="0"/>
                <w:sz w:val="24"/>
                <w:highlight w:val="none"/>
                <w:lang w:val="en-US" w:eastAsia="zh-CN"/>
              </w:rPr>
              <w:t>7</w:t>
            </w:r>
            <w:r>
              <w:rPr>
                <w:rFonts w:hint="eastAsia" w:ascii="宋体" w:hAnsi="宋体" w:cs="Arial"/>
                <w:color w:val="000000"/>
                <w:kern w:val="0"/>
                <w:sz w:val="24"/>
                <w:highlight w:val="none"/>
              </w:rPr>
              <w:t>年度</w:t>
            </w:r>
          </w:p>
        </w:tc>
      </w:tr>
      <w:tr>
        <w:tblPrEx>
          <w:tblCellMar>
            <w:top w:w="0" w:type="dxa"/>
            <w:left w:w="108" w:type="dxa"/>
            <w:bottom w:w="0" w:type="dxa"/>
            <w:right w:w="108" w:type="dxa"/>
          </w:tblCellMar>
        </w:tblPrEx>
        <w:trPr>
          <w:trHeight w:val="270" w:hRule="atLeast"/>
        </w:trPr>
        <w:tc>
          <w:tcPr>
            <w:tcW w:w="5142"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hint="eastAsia" w:ascii="宋体" w:hAnsi="宋体" w:cs="Arial"/>
                <w:color w:val="000000"/>
                <w:kern w:val="0"/>
                <w:sz w:val="22"/>
                <w:highlight w:val="none"/>
              </w:rPr>
              <w:t>项　　目</w:t>
            </w:r>
          </w:p>
        </w:tc>
        <w:tc>
          <w:tcPr>
            <w:tcW w:w="2851"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hint="eastAsia" w:ascii="宋体" w:hAnsi="宋体" w:cs="Arial"/>
                <w:color w:val="000000"/>
                <w:kern w:val="0"/>
                <w:sz w:val="22"/>
                <w:highlight w:val="none"/>
              </w:rPr>
              <w:t>行次</w:t>
            </w:r>
          </w:p>
        </w:tc>
        <w:tc>
          <w:tcPr>
            <w:tcW w:w="6181" w:type="dxa"/>
            <w:tcBorders>
              <w:top w:val="single" w:color="000000" w:sz="8" w:space="0"/>
              <w:left w:val="nil"/>
              <w:bottom w:val="single" w:color="000000" w:sz="4" w:space="0"/>
              <w:right w:val="nil"/>
            </w:tcBorders>
            <w:shd w:val="clear" w:color="FFFFFF" w:fill="C0C0C0"/>
            <w:vAlign w:val="center"/>
          </w:tcPr>
          <w:p>
            <w:pPr>
              <w:widowControl/>
              <w:jc w:val="left"/>
              <w:rPr>
                <w:rFonts w:ascii="宋体" w:cs="Arial"/>
                <w:color w:val="000000"/>
                <w:kern w:val="0"/>
                <w:sz w:val="22"/>
                <w:highlight w:val="none"/>
              </w:rPr>
            </w:pPr>
            <w:r>
              <w:rPr>
                <w:rFonts w:hint="eastAsia" w:ascii="宋体" w:hAnsi="宋体" w:cs="Arial"/>
                <w:color w:val="000000"/>
                <w:kern w:val="0"/>
                <w:sz w:val="22"/>
                <w:highlight w:val="none"/>
              </w:rPr>
              <w:t>价值</w:t>
            </w:r>
            <w:r>
              <w:rPr>
                <w:rFonts w:hint="eastAsia" w:ascii="宋体" w:hAnsi="宋体" w:cs="Arial"/>
                <w:color w:val="000000"/>
                <w:kern w:val="0"/>
                <w:sz w:val="22"/>
                <w:highlight w:val="none"/>
                <w:lang w:eastAsia="zh-CN"/>
              </w:rPr>
              <w:t>（元）</w:t>
            </w:r>
          </w:p>
        </w:tc>
      </w:tr>
      <w:tr>
        <w:tblPrEx>
          <w:tblCellMar>
            <w:top w:w="0" w:type="dxa"/>
            <w:left w:w="108" w:type="dxa"/>
            <w:bottom w:w="0" w:type="dxa"/>
            <w:right w:w="108" w:type="dxa"/>
          </w:tblCellMar>
        </w:tblPrEx>
        <w:trPr>
          <w:trHeight w:val="270" w:hRule="atLeast"/>
        </w:trPr>
        <w:tc>
          <w:tcPr>
            <w:tcW w:w="5142"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highlight w:val="none"/>
              </w:rPr>
            </w:pPr>
          </w:p>
        </w:tc>
        <w:tc>
          <w:tcPr>
            <w:tcW w:w="285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highlight w:val="none"/>
              </w:rPr>
            </w:pPr>
          </w:p>
        </w:tc>
        <w:tc>
          <w:tcPr>
            <w:tcW w:w="618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hint="eastAsia" w:ascii="宋体" w:hAnsi="宋体" w:cs="Arial"/>
                <w:color w:val="000000"/>
                <w:kern w:val="0"/>
                <w:sz w:val="22"/>
                <w:highlight w:val="none"/>
              </w:rPr>
              <w:t>年末数</w:t>
            </w: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hint="eastAsia" w:ascii="宋体" w:hAnsi="宋体" w:cs="Arial"/>
                <w:color w:val="000000"/>
                <w:kern w:val="0"/>
                <w:sz w:val="22"/>
                <w:highlight w:val="none"/>
              </w:rPr>
              <w:t>栏　　次</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hint="eastAsia" w:ascii="宋体" w:hAnsi="宋体" w:cs="Arial"/>
                <w:color w:val="000000"/>
                <w:kern w:val="0"/>
                <w:sz w:val="22"/>
                <w:highlight w:val="none"/>
              </w:rPr>
              <w:t>　</w:t>
            </w:r>
          </w:p>
        </w:tc>
        <w:tc>
          <w:tcPr>
            <w:tcW w:w="618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4</w:t>
            </w: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hint="eastAsia" w:ascii="宋体" w:hAnsi="宋体" w:cs="Arial"/>
                <w:color w:val="000000"/>
                <w:kern w:val="0"/>
                <w:sz w:val="22"/>
                <w:highlight w:val="none"/>
              </w:rPr>
              <w:t>二、固定资产</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3</w:t>
            </w:r>
          </w:p>
        </w:tc>
        <w:tc>
          <w:tcPr>
            <w:tcW w:w="618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2"/>
                <w:highlight w:val="none"/>
              </w:rPr>
            </w:pPr>
            <w:r>
              <w:rPr>
                <w:rFonts w:hint="eastAsia" w:ascii="宋体" w:hAnsi="宋体" w:cs="宋体"/>
                <w:i w:val="0"/>
                <w:color w:val="000000"/>
                <w:kern w:val="0"/>
                <w:sz w:val="22"/>
                <w:szCs w:val="22"/>
                <w:highlight w:val="none"/>
                <w:u w:val="none"/>
                <w:lang w:val="en-US" w:eastAsia="zh-CN" w:bidi="ar"/>
              </w:rPr>
              <w:t>1704861.19</w:t>
            </w: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hint="eastAsia" w:ascii="宋体" w:hAnsi="宋体" w:cs="Arial"/>
                <w:color w:val="000000"/>
                <w:kern w:val="0"/>
                <w:sz w:val="22"/>
                <w:highlight w:val="none"/>
              </w:rPr>
              <w:t>（一）房屋（平方米）</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4</w:t>
            </w: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ascii="宋体" w:hAnsi="宋体" w:cs="Arial"/>
                <w:color w:val="000000"/>
                <w:kern w:val="0"/>
                <w:sz w:val="22"/>
                <w:highlight w:val="none"/>
              </w:rPr>
              <w:t xml:space="preserve">        1.</w:t>
            </w:r>
            <w:r>
              <w:rPr>
                <w:rFonts w:hint="eastAsia" w:ascii="宋体" w:hAnsi="宋体" w:cs="Arial"/>
                <w:color w:val="000000"/>
                <w:kern w:val="0"/>
                <w:sz w:val="22"/>
                <w:highlight w:val="none"/>
              </w:rPr>
              <w:t>办公用房</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5</w:t>
            </w: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hint="eastAsia" w:ascii="宋体" w:hAnsi="宋体" w:cs="Arial"/>
                <w:color w:val="000000"/>
                <w:kern w:val="0"/>
                <w:sz w:val="22"/>
                <w:highlight w:val="none"/>
              </w:rPr>
              <w:t>　　</w:t>
            </w:r>
            <w:r>
              <w:rPr>
                <w:rFonts w:ascii="宋体" w:hAnsi="宋体" w:cs="Arial"/>
                <w:color w:val="000000"/>
                <w:kern w:val="0"/>
                <w:sz w:val="22"/>
                <w:highlight w:val="none"/>
              </w:rPr>
              <w:t xml:space="preserve">    2.</w:t>
            </w:r>
            <w:r>
              <w:rPr>
                <w:rFonts w:hint="eastAsia" w:ascii="宋体" w:hAnsi="宋体" w:cs="Arial"/>
                <w:color w:val="000000"/>
                <w:kern w:val="0"/>
                <w:sz w:val="22"/>
                <w:highlight w:val="none"/>
              </w:rPr>
              <w:t>业务用房</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6</w:t>
            </w: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hint="eastAsia" w:ascii="宋体" w:hAnsi="宋体" w:cs="Arial"/>
                <w:color w:val="000000"/>
                <w:kern w:val="0"/>
                <w:sz w:val="22"/>
                <w:highlight w:val="none"/>
              </w:rPr>
              <w:t>　　</w:t>
            </w:r>
            <w:r>
              <w:rPr>
                <w:rFonts w:ascii="宋体" w:hAnsi="宋体" w:cs="Arial"/>
                <w:color w:val="000000"/>
                <w:kern w:val="0"/>
                <w:sz w:val="22"/>
                <w:highlight w:val="none"/>
              </w:rPr>
              <w:t xml:space="preserve">   3.</w:t>
            </w:r>
            <w:r>
              <w:rPr>
                <w:rFonts w:hint="eastAsia" w:ascii="宋体" w:hAnsi="宋体" w:cs="Arial"/>
                <w:color w:val="000000"/>
                <w:kern w:val="0"/>
                <w:sz w:val="22"/>
                <w:highlight w:val="none"/>
              </w:rPr>
              <w:t>其他（不含构筑物）</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7</w:t>
            </w: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hint="eastAsia" w:ascii="宋体" w:hAnsi="宋体" w:cs="Arial"/>
                <w:color w:val="000000"/>
                <w:kern w:val="0"/>
                <w:sz w:val="22"/>
                <w:highlight w:val="none"/>
              </w:rPr>
              <w:t>（二）车辆（台、辆）</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8</w:t>
            </w: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r>
              <w:rPr>
                <w:rFonts w:hint="eastAsia" w:ascii="宋体" w:cs="Arial"/>
                <w:color w:val="000000"/>
                <w:kern w:val="0"/>
                <w:sz w:val="22"/>
                <w:highlight w:val="none"/>
                <w:lang w:val="en-US" w:eastAsia="zh-CN"/>
              </w:rPr>
              <w:t>216620</w:t>
            </w: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ascii="宋体" w:hAnsi="宋体" w:cs="Arial"/>
                <w:color w:val="000000"/>
                <w:kern w:val="0"/>
                <w:sz w:val="22"/>
                <w:highlight w:val="none"/>
              </w:rPr>
              <w:t xml:space="preserve">        1.</w:t>
            </w:r>
            <w:r>
              <w:rPr>
                <w:rFonts w:hint="eastAsia" w:ascii="宋体" w:hAnsi="宋体" w:cs="Arial"/>
                <w:color w:val="000000"/>
                <w:kern w:val="0"/>
                <w:sz w:val="22"/>
                <w:highlight w:val="none"/>
              </w:rPr>
              <w:t>轿车</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9</w:t>
            </w: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r>
              <w:rPr>
                <w:rFonts w:hint="eastAsia" w:ascii="宋体" w:cs="Arial"/>
                <w:color w:val="000000"/>
                <w:kern w:val="0"/>
                <w:sz w:val="22"/>
                <w:highlight w:val="none"/>
                <w:lang w:val="en-US" w:eastAsia="zh-CN"/>
              </w:rPr>
              <w:t>86620（已拍卖）</w:t>
            </w: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ascii="宋体" w:hAnsi="宋体" w:cs="Arial"/>
                <w:color w:val="000000"/>
                <w:kern w:val="0"/>
                <w:sz w:val="22"/>
                <w:highlight w:val="none"/>
              </w:rPr>
              <w:t xml:space="preserve">        2.</w:t>
            </w:r>
            <w:r>
              <w:rPr>
                <w:rFonts w:hint="eastAsia" w:ascii="宋体" w:hAnsi="宋体" w:cs="Arial"/>
                <w:color w:val="000000"/>
                <w:kern w:val="0"/>
                <w:sz w:val="22"/>
                <w:highlight w:val="none"/>
              </w:rPr>
              <w:t>越野车</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10</w:t>
            </w: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r>
              <w:rPr>
                <w:rFonts w:hint="eastAsia" w:ascii="宋体" w:cs="Arial"/>
                <w:color w:val="000000"/>
                <w:kern w:val="0"/>
                <w:sz w:val="22"/>
                <w:highlight w:val="none"/>
                <w:lang w:val="en-US" w:eastAsia="zh-CN"/>
              </w:rPr>
              <w:t>130000</w:t>
            </w: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hint="eastAsia" w:ascii="宋体" w:hAnsi="宋体" w:cs="Arial"/>
                <w:color w:val="000000"/>
                <w:kern w:val="0"/>
                <w:sz w:val="22"/>
                <w:highlight w:val="none"/>
              </w:rPr>
            </w:pPr>
            <w:r>
              <w:rPr>
                <w:rFonts w:hint="eastAsia" w:ascii="宋体" w:hAnsi="宋体" w:cs="宋体"/>
                <w:color w:val="000000"/>
                <w:kern w:val="0"/>
                <w:sz w:val="24"/>
                <w:szCs w:val="24"/>
                <w:highlight w:val="none"/>
                <w:lang w:eastAsia="zh-CN"/>
              </w:rPr>
              <w:t>（三）</w:t>
            </w:r>
            <w:r>
              <w:rPr>
                <w:rFonts w:hint="eastAsia" w:ascii="宋体" w:hAnsi="宋体" w:cs="宋体"/>
                <w:color w:val="000000"/>
                <w:kern w:val="0"/>
                <w:sz w:val="24"/>
                <w:szCs w:val="24"/>
                <w:highlight w:val="none"/>
              </w:rPr>
              <w:t>单价在20万元以上的设备</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p>
        </w:tc>
        <w:tc>
          <w:tcPr>
            <w:tcW w:w="6181"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highlight w:val="none"/>
                <w:lang w:val="en-US" w:eastAsia="zh-CN"/>
              </w:rPr>
            </w:pPr>
          </w:p>
        </w:tc>
      </w:tr>
      <w:tr>
        <w:tblPrEx>
          <w:tblCellMar>
            <w:top w:w="0" w:type="dxa"/>
            <w:left w:w="108" w:type="dxa"/>
            <w:bottom w:w="0" w:type="dxa"/>
            <w:right w:w="108" w:type="dxa"/>
          </w:tblCellMar>
        </w:tblPrEx>
        <w:trPr>
          <w:trHeight w:val="270" w:hRule="atLeast"/>
        </w:trPr>
        <w:tc>
          <w:tcPr>
            <w:tcW w:w="5142"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highlight w:val="none"/>
              </w:rPr>
            </w:pPr>
            <w:r>
              <w:rPr>
                <w:rFonts w:hint="eastAsia" w:ascii="宋体" w:hAnsi="宋体" w:cs="Arial"/>
                <w:color w:val="000000"/>
                <w:kern w:val="0"/>
                <w:sz w:val="22"/>
                <w:highlight w:val="none"/>
              </w:rPr>
              <w:t>（四）其他固定资产</w:t>
            </w:r>
          </w:p>
        </w:tc>
        <w:tc>
          <w:tcPr>
            <w:tcW w:w="2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highlight w:val="none"/>
              </w:rPr>
            </w:pPr>
            <w:r>
              <w:rPr>
                <w:rFonts w:ascii="宋体" w:hAnsi="宋体" w:cs="Arial"/>
                <w:color w:val="000000"/>
                <w:kern w:val="0"/>
                <w:sz w:val="22"/>
                <w:highlight w:val="none"/>
              </w:rPr>
              <w:t>17</w:t>
            </w:r>
          </w:p>
        </w:tc>
        <w:tc>
          <w:tcPr>
            <w:tcW w:w="618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2"/>
                <w:highlight w:val="none"/>
              </w:rPr>
            </w:pPr>
            <w:r>
              <w:rPr>
                <w:rFonts w:hint="eastAsia" w:ascii="宋体" w:hAnsi="宋体" w:cs="宋体"/>
                <w:i w:val="0"/>
                <w:color w:val="000000"/>
                <w:kern w:val="0"/>
                <w:sz w:val="22"/>
                <w:szCs w:val="22"/>
                <w:highlight w:val="none"/>
                <w:u w:val="none"/>
                <w:lang w:val="en-US" w:eastAsia="zh-CN" w:bidi="ar"/>
              </w:rPr>
              <w:t>1488241.19</w:t>
            </w:r>
          </w:p>
        </w:tc>
      </w:tr>
    </w:tbl>
    <w:p>
      <w:pPr>
        <w:spacing w:line="520" w:lineRule="exact"/>
        <w:jc w:val="center"/>
        <w:rPr>
          <w:rFonts w:ascii="仿宋" w:hAnsi="仿宋" w:eastAsia="仿宋"/>
          <w:sz w:val="32"/>
          <w:szCs w:val="32"/>
          <w:highlight w:val="none"/>
        </w:rPr>
      </w:pPr>
    </w:p>
    <w:p>
      <w:pPr>
        <w:spacing w:line="500" w:lineRule="exact"/>
        <w:ind w:firstLine="627" w:firstLineChars="196"/>
        <w:jc w:val="center"/>
        <w:outlineLvl w:val="0"/>
        <w:rPr>
          <w:rFonts w:ascii="黑体" w:hAnsi="黑体" w:eastAsia="黑体"/>
          <w:sz w:val="32"/>
          <w:szCs w:val="32"/>
          <w:highlight w:val="none"/>
        </w:rPr>
      </w:pPr>
      <w:r>
        <w:rPr>
          <w:rFonts w:hint="eastAsia" w:ascii="黑体" w:hAnsi="黑体" w:eastAsia="黑体"/>
          <w:sz w:val="32"/>
          <w:szCs w:val="32"/>
          <w:highlight w:val="none"/>
        </w:rPr>
        <w:t>第八部分：名词解释</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sz w:val="32"/>
          <w:szCs w:val="32"/>
          <w:highlight w:val="none"/>
        </w:rPr>
        <w:t>包括办公费、水电费、邮电费、取暖费、交通费、一般会议费和物业管理费之和。</w:t>
      </w:r>
    </w:p>
    <w:p>
      <w:pPr>
        <w:ind w:firstLine="600" w:firstLineChars="200"/>
        <w:rPr>
          <w:rFonts w:ascii="宋体" w:cs="宋体"/>
          <w:sz w:val="30"/>
          <w:szCs w:val="30"/>
          <w:highlight w:val="none"/>
        </w:rPr>
      </w:pPr>
    </w:p>
    <w:p>
      <w:pPr>
        <w:spacing w:line="500" w:lineRule="exact"/>
        <w:ind w:firstLine="640" w:firstLineChars="200"/>
        <w:jc w:val="both"/>
        <w:outlineLvl w:val="0"/>
        <w:rPr>
          <w:rFonts w:hint="eastAsia" w:ascii="黑体" w:hAnsi="黑体" w:eastAsia="黑体"/>
          <w:sz w:val="32"/>
          <w:szCs w:val="32"/>
          <w:highlight w:val="none"/>
        </w:rPr>
      </w:pPr>
    </w:p>
    <w:p>
      <w:pPr>
        <w:spacing w:line="500" w:lineRule="exact"/>
        <w:ind w:firstLine="640" w:firstLineChars="200"/>
        <w:jc w:val="both"/>
        <w:outlineLvl w:val="0"/>
        <w:rPr>
          <w:rFonts w:hint="eastAsia" w:ascii="黑体" w:hAnsi="黑体" w:eastAsia="黑体"/>
          <w:sz w:val="32"/>
          <w:szCs w:val="32"/>
          <w:highlight w:val="none"/>
        </w:rPr>
      </w:pPr>
    </w:p>
    <w:p>
      <w:pPr>
        <w:spacing w:line="500" w:lineRule="exact"/>
        <w:ind w:firstLine="640" w:firstLineChars="200"/>
        <w:jc w:val="both"/>
        <w:outlineLvl w:val="0"/>
        <w:rPr>
          <w:rFonts w:hint="eastAsia" w:ascii="黑体" w:hAnsi="黑体" w:eastAsia="黑体"/>
          <w:sz w:val="32"/>
          <w:szCs w:val="32"/>
          <w:highlight w:val="none"/>
        </w:rPr>
      </w:pPr>
    </w:p>
    <w:p>
      <w:pPr>
        <w:spacing w:line="500" w:lineRule="exact"/>
        <w:ind w:firstLine="640" w:firstLineChars="200"/>
        <w:jc w:val="both"/>
        <w:outlineLvl w:val="0"/>
        <w:rPr>
          <w:rFonts w:hint="eastAsia" w:ascii="黑体" w:hAnsi="黑体" w:eastAsia="黑体"/>
          <w:sz w:val="32"/>
          <w:szCs w:val="32"/>
          <w:highlight w:val="none"/>
        </w:rPr>
      </w:pPr>
    </w:p>
    <w:p>
      <w:pPr>
        <w:spacing w:line="500" w:lineRule="exact"/>
        <w:ind w:firstLine="640" w:firstLineChars="200"/>
        <w:jc w:val="both"/>
        <w:outlineLvl w:val="0"/>
        <w:rPr>
          <w:rFonts w:hint="eastAsia" w:ascii="黑体" w:hAnsi="黑体" w:eastAsia="黑体"/>
          <w:sz w:val="32"/>
          <w:szCs w:val="32"/>
          <w:highlight w:val="none"/>
        </w:rPr>
      </w:pPr>
    </w:p>
    <w:p>
      <w:pPr>
        <w:spacing w:line="500" w:lineRule="exact"/>
        <w:ind w:firstLine="640" w:firstLineChars="200"/>
        <w:jc w:val="both"/>
        <w:outlineLvl w:val="0"/>
        <w:rPr>
          <w:rFonts w:ascii="黑体" w:hAnsi="黑体" w:eastAsia="黑体"/>
          <w:sz w:val="32"/>
          <w:szCs w:val="32"/>
          <w:highlight w:val="none"/>
        </w:rPr>
      </w:pPr>
      <w:r>
        <w:rPr>
          <w:rFonts w:hint="eastAsia" w:ascii="黑体" w:hAnsi="黑体" w:eastAsia="黑体"/>
          <w:sz w:val="32"/>
          <w:szCs w:val="32"/>
          <w:highlight w:val="none"/>
        </w:rPr>
        <w:t>第九部分：其他需说明的事项</w:t>
      </w:r>
    </w:p>
    <w:p>
      <w:pPr>
        <w:ind w:firstLine="600" w:firstLineChars="200"/>
        <w:rPr>
          <w:rFonts w:hint="eastAsia" w:ascii="宋体" w:eastAsia="宋体" w:cs="宋体"/>
          <w:sz w:val="30"/>
          <w:szCs w:val="30"/>
          <w:highlight w:val="none"/>
          <w:lang w:eastAsia="zh-CN"/>
        </w:rPr>
      </w:pPr>
      <w:r>
        <w:rPr>
          <w:rFonts w:hint="eastAsia" w:ascii="宋体" w:cs="宋体"/>
          <w:sz w:val="30"/>
          <w:szCs w:val="30"/>
          <w:highlight w:val="none"/>
          <w:lang w:eastAsia="zh-CN"/>
        </w:rPr>
        <w:t>无其他需要说明的事项</w:t>
      </w:r>
    </w:p>
    <w:p>
      <w:pPr>
        <w:spacing w:line="500" w:lineRule="exact"/>
        <w:ind w:firstLine="627" w:firstLineChars="196"/>
        <w:jc w:val="center"/>
        <w:outlineLvl w:val="0"/>
        <w:rPr>
          <w:rFonts w:hint="eastAsia" w:ascii="黑体" w:hAnsi="黑体" w:eastAsia="黑体"/>
          <w:sz w:val="32"/>
          <w:szCs w:val="32"/>
          <w:highlight w:val="none"/>
        </w:rPr>
        <w:sectPr>
          <w:headerReference r:id="rId3" w:type="default"/>
          <w:footerReference r:id="rId4" w:type="default"/>
          <w:pgSz w:w="16838" w:h="11906" w:orient="landscape"/>
          <w:pgMar w:top="1576" w:right="1440" w:bottom="1576" w:left="1440" w:header="851" w:footer="992" w:gutter="0"/>
          <w:cols w:space="0" w:num="1"/>
          <w:rtlGutter w:val="0"/>
          <w:docGrid w:type="lines" w:linePitch="324" w:charSpace="0"/>
        </w:sectPr>
      </w:pPr>
    </w:p>
    <w:p>
      <w:pPr>
        <w:rPr>
          <w:rFonts w:hint="eastAsia" w:ascii="宋体" w:eastAsia="宋体" w:cs="宋体"/>
          <w:sz w:val="30"/>
          <w:szCs w:val="30"/>
          <w:highlight w:val="none"/>
          <w:lang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6F77"/>
    <w:multiLevelType w:val="singleLevel"/>
    <w:tmpl w:val="58576F77"/>
    <w:lvl w:ilvl="0" w:tentative="0">
      <w:start w:val="1"/>
      <w:numFmt w:val="chineseCounting"/>
      <w:suff w:val="nothing"/>
      <w:lvlText w:val="%1、"/>
      <w:lvlJc w:val="left"/>
      <w:rPr>
        <w:rFonts w:cs="Times New Roman"/>
      </w:rPr>
    </w:lvl>
  </w:abstractNum>
  <w:abstractNum w:abstractNumId="1">
    <w:nsid w:val="5950E0D8"/>
    <w:multiLevelType w:val="singleLevel"/>
    <w:tmpl w:val="5950E0D8"/>
    <w:lvl w:ilvl="0" w:tentative="0">
      <w:start w:val="1"/>
      <w:numFmt w:val="decimal"/>
      <w:suff w:val="nothing"/>
      <w:lvlText w:val="%1、"/>
      <w:lvlJc w:val="left"/>
      <w:rPr>
        <w:rFonts w:cs="Times New Roman"/>
      </w:rPr>
    </w:lvl>
  </w:abstractNum>
  <w:abstractNum w:abstractNumId="2">
    <w:nsid w:val="5AE2E359"/>
    <w:multiLevelType w:val="singleLevel"/>
    <w:tmpl w:val="5AE2E359"/>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62B7746F"/>
    <w:rsid w:val="00005D6C"/>
    <w:rsid w:val="00072E19"/>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5BCE"/>
    <w:rsid w:val="0024655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835A3"/>
    <w:rsid w:val="004A1083"/>
    <w:rsid w:val="004C78E6"/>
    <w:rsid w:val="004D39F8"/>
    <w:rsid w:val="004D61D8"/>
    <w:rsid w:val="0050362D"/>
    <w:rsid w:val="00503B00"/>
    <w:rsid w:val="00512A37"/>
    <w:rsid w:val="005148B1"/>
    <w:rsid w:val="00515E9A"/>
    <w:rsid w:val="00517F88"/>
    <w:rsid w:val="005460D1"/>
    <w:rsid w:val="00555759"/>
    <w:rsid w:val="00576CD4"/>
    <w:rsid w:val="00582830"/>
    <w:rsid w:val="00587166"/>
    <w:rsid w:val="005A01CD"/>
    <w:rsid w:val="005B4F6A"/>
    <w:rsid w:val="005C0A51"/>
    <w:rsid w:val="005C1D33"/>
    <w:rsid w:val="005D2A78"/>
    <w:rsid w:val="00640171"/>
    <w:rsid w:val="00647F20"/>
    <w:rsid w:val="00673EC1"/>
    <w:rsid w:val="0067562C"/>
    <w:rsid w:val="00683030"/>
    <w:rsid w:val="006916D2"/>
    <w:rsid w:val="006F06EA"/>
    <w:rsid w:val="0070587F"/>
    <w:rsid w:val="0071258A"/>
    <w:rsid w:val="00724EDC"/>
    <w:rsid w:val="007379A7"/>
    <w:rsid w:val="00752241"/>
    <w:rsid w:val="0075234A"/>
    <w:rsid w:val="00755DE4"/>
    <w:rsid w:val="00757CE8"/>
    <w:rsid w:val="00781FD2"/>
    <w:rsid w:val="007C7F18"/>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B66BC"/>
    <w:rsid w:val="009C67D4"/>
    <w:rsid w:val="009E7BCA"/>
    <w:rsid w:val="00A01C66"/>
    <w:rsid w:val="00A10AF9"/>
    <w:rsid w:val="00A13390"/>
    <w:rsid w:val="00A20657"/>
    <w:rsid w:val="00A22EF8"/>
    <w:rsid w:val="00A246F0"/>
    <w:rsid w:val="00A31055"/>
    <w:rsid w:val="00A32D91"/>
    <w:rsid w:val="00A35764"/>
    <w:rsid w:val="00A54960"/>
    <w:rsid w:val="00A60378"/>
    <w:rsid w:val="00A71EA5"/>
    <w:rsid w:val="00AA0505"/>
    <w:rsid w:val="00AA286F"/>
    <w:rsid w:val="00AB2B10"/>
    <w:rsid w:val="00AC53D4"/>
    <w:rsid w:val="00AD2E35"/>
    <w:rsid w:val="00B13E2C"/>
    <w:rsid w:val="00B30AAB"/>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7410B"/>
    <w:rsid w:val="00E77BBA"/>
    <w:rsid w:val="00E94107"/>
    <w:rsid w:val="00E97278"/>
    <w:rsid w:val="00EB6FB6"/>
    <w:rsid w:val="00ED30B2"/>
    <w:rsid w:val="00EE5B8D"/>
    <w:rsid w:val="00F15B17"/>
    <w:rsid w:val="00F178DB"/>
    <w:rsid w:val="00F26E75"/>
    <w:rsid w:val="00F34776"/>
    <w:rsid w:val="00F440DB"/>
    <w:rsid w:val="00F46B1E"/>
    <w:rsid w:val="00F64D94"/>
    <w:rsid w:val="00F86E61"/>
    <w:rsid w:val="00F87B39"/>
    <w:rsid w:val="00FB2273"/>
    <w:rsid w:val="00FF66BD"/>
    <w:rsid w:val="014A3C9F"/>
    <w:rsid w:val="01F766E6"/>
    <w:rsid w:val="0236057D"/>
    <w:rsid w:val="02370C4C"/>
    <w:rsid w:val="028B34F0"/>
    <w:rsid w:val="02AA592E"/>
    <w:rsid w:val="033036D2"/>
    <w:rsid w:val="0446035E"/>
    <w:rsid w:val="045030B9"/>
    <w:rsid w:val="050D4A8A"/>
    <w:rsid w:val="05586254"/>
    <w:rsid w:val="060D5EBD"/>
    <w:rsid w:val="061656E9"/>
    <w:rsid w:val="06BB3757"/>
    <w:rsid w:val="06DC032F"/>
    <w:rsid w:val="06DC4045"/>
    <w:rsid w:val="06E07A11"/>
    <w:rsid w:val="070476E1"/>
    <w:rsid w:val="072643C6"/>
    <w:rsid w:val="07AA18C9"/>
    <w:rsid w:val="080C43A9"/>
    <w:rsid w:val="08445DAB"/>
    <w:rsid w:val="08D77D0F"/>
    <w:rsid w:val="08EB5CAD"/>
    <w:rsid w:val="08F50722"/>
    <w:rsid w:val="092F5A4E"/>
    <w:rsid w:val="09771546"/>
    <w:rsid w:val="09787A9C"/>
    <w:rsid w:val="0A2515D9"/>
    <w:rsid w:val="0A2630D3"/>
    <w:rsid w:val="0B0B6FDD"/>
    <w:rsid w:val="0B9639BA"/>
    <w:rsid w:val="0BC812CC"/>
    <w:rsid w:val="0C6968A8"/>
    <w:rsid w:val="0E72565B"/>
    <w:rsid w:val="0E953EB5"/>
    <w:rsid w:val="0FC95E8B"/>
    <w:rsid w:val="10AA30AB"/>
    <w:rsid w:val="10CD1DA4"/>
    <w:rsid w:val="10D15D37"/>
    <w:rsid w:val="11013FA8"/>
    <w:rsid w:val="11102578"/>
    <w:rsid w:val="11F62AEA"/>
    <w:rsid w:val="12A45541"/>
    <w:rsid w:val="12AA778D"/>
    <w:rsid w:val="130813ED"/>
    <w:rsid w:val="13194BFD"/>
    <w:rsid w:val="131A29BD"/>
    <w:rsid w:val="133B3544"/>
    <w:rsid w:val="134713E5"/>
    <w:rsid w:val="149F1219"/>
    <w:rsid w:val="16F50F61"/>
    <w:rsid w:val="171370C0"/>
    <w:rsid w:val="17AC3D31"/>
    <w:rsid w:val="181A4B27"/>
    <w:rsid w:val="19152820"/>
    <w:rsid w:val="194B546A"/>
    <w:rsid w:val="1988420E"/>
    <w:rsid w:val="19A8045C"/>
    <w:rsid w:val="1B765D87"/>
    <w:rsid w:val="1BEB4A28"/>
    <w:rsid w:val="1C4D1B67"/>
    <w:rsid w:val="1C956280"/>
    <w:rsid w:val="1CB25C88"/>
    <w:rsid w:val="1CE3206F"/>
    <w:rsid w:val="1D411655"/>
    <w:rsid w:val="1D971DD1"/>
    <w:rsid w:val="1DA6459B"/>
    <w:rsid w:val="1DAD4E1D"/>
    <w:rsid w:val="1DBB1735"/>
    <w:rsid w:val="1DED7567"/>
    <w:rsid w:val="1E3071CD"/>
    <w:rsid w:val="1E3A703C"/>
    <w:rsid w:val="1E94719D"/>
    <w:rsid w:val="201A78A7"/>
    <w:rsid w:val="207F574E"/>
    <w:rsid w:val="20A44B6D"/>
    <w:rsid w:val="21395B24"/>
    <w:rsid w:val="218132C5"/>
    <w:rsid w:val="2185384C"/>
    <w:rsid w:val="21923AB4"/>
    <w:rsid w:val="221D3230"/>
    <w:rsid w:val="2229642D"/>
    <w:rsid w:val="23126041"/>
    <w:rsid w:val="23746447"/>
    <w:rsid w:val="242A0986"/>
    <w:rsid w:val="243C04D3"/>
    <w:rsid w:val="248A6786"/>
    <w:rsid w:val="24B14CC9"/>
    <w:rsid w:val="24C35B21"/>
    <w:rsid w:val="25267219"/>
    <w:rsid w:val="26142EA2"/>
    <w:rsid w:val="2699605E"/>
    <w:rsid w:val="26CB4861"/>
    <w:rsid w:val="276907BD"/>
    <w:rsid w:val="277826C8"/>
    <w:rsid w:val="279320BC"/>
    <w:rsid w:val="27AC79C2"/>
    <w:rsid w:val="280D031D"/>
    <w:rsid w:val="28360862"/>
    <w:rsid w:val="286157AE"/>
    <w:rsid w:val="287E6BC5"/>
    <w:rsid w:val="299E0E5D"/>
    <w:rsid w:val="29CA3274"/>
    <w:rsid w:val="29DA11B6"/>
    <w:rsid w:val="29DA735B"/>
    <w:rsid w:val="2A590FB1"/>
    <w:rsid w:val="2A634EE7"/>
    <w:rsid w:val="2ACF2B7A"/>
    <w:rsid w:val="2AEB2CEF"/>
    <w:rsid w:val="2B21606E"/>
    <w:rsid w:val="2B373316"/>
    <w:rsid w:val="2BFB319D"/>
    <w:rsid w:val="2C720D50"/>
    <w:rsid w:val="2D9D3A77"/>
    <w:rsid w:val="2E82302B"/>
    <w:rsid w:val="2EC6673A"/>
    <w:rsid w:val="2F55740A"/>
    <w:rsid w:val="301A6615"/>
    <w:rsid w:val="30344706"/>
    <w:rsid w:val="30B1110E"/>
    <w:rsid w:val="3169366E"/>
    <w:rsid w:val="323F6515"/>
    <w:rsid w:val="331050B3"/>
    <w:rsid w:val="33334406"/>
    <w:rsid w:val="339B746E"/>
    <w:rsid w:val="343E7D3B"/>
    <w:rsid w:val="34A31F33"/>
    <w:rsid w:val="36902C3B"/>
    <w:rsid w:val="36D93353"/>
    <w:rsid w:val="370531A9"/>
    <w:rsid w:val="372E7AA3"/>
    <w:rsid w:val="3815260B"/>
    <w:rsid w:val="38696C54"/>
    <w:rsid w:val="38BF3CA4"/>
    <w:rsid w:val="39D422DD"/>
    <w:rsid w:val="39F7068F"/>
    <w:rsid w:val="3C3F0A96"/>
    <w:rsid w:val="3CC61012"/>
    <w:rsid w:val="3E277EDB"/>
    <w:rsid w:val="3EE803B9"/>
    <w:rsid w:val="3FDB0BAF"/>
    <w:rsid w:val="403038A2"/>
    <w:rsid w:val="40776909"/>
    <w:rsid w:val="409C47EA"/>
    <w:rsid w:val="410E06BB"/>
    <w:rsid w:val="413E23FD"/>
    <w:rsid w:val="4167661E"/>
    <w:rsid w:val="41AC6B39"/>
    <w:rsid w:val="41CC4D18"/>
    <w:rsid w:val="425C6FF5"/>
    <w:rsid w:val="42806180"/>
    <w:rsid w:val="42EA1422"/>
    <w:rsid w:val="430D158D"/>
    <w:rsid w:val="43366476"/>
    <w:rsid w:val="438A1434"/>
    <w:rsid w:val="446845BA"/>
    <w:rsid w:val="44833960"/>
    <w:rsid w:val="44C10DC2"/>
    <w:rsid w:val="4529281B"/>
    <w:rsid w:val="452D2F12"/>
    <w:rsid w:val="45342F67"/>
    <w:rsid w:val="45A703F7"/>
    <w:rsid w:val="45B264BA"/>
    <w:rsid w:val="45BF7866"/>
    <w:rsid w:val="48010187"/>
    <w:rsid w:val="482F16FE"/>
    <w:rsid w:val="484C0DA7"/>
    <w:rsid w:val="48A37F31"/>
    <w:rsid w:val="49303BA7"/>
    <w:rsid w:val="4981751D"/>
    <w:rsid w:val="4A111BA7"/>
    <w:rsid w:val="4AA83145"/>
    <w:rsid w:val="4AC14560"/>
    <w:rsid w:val="4AFC69F6"/>
    <w:rsid w:val="4B6D4BE2"/>
    <w:rsid w:val="4D263C1C"/>
    <w:rsid w:val="4D6D1E46"/>
    <w:rsid w:val="4DBA6EE4"/>
    <w:rsid w:val="5030393F"/>
    <w:rsid w:val="50BA7D48"/>
    <w:rsid w:val="51671DA4"/>
    <w:rsid w:val="519675DE"/>
    <w:rsid w:val="521E6817"/>
    <w:rsid w:val="53D548C9"/>
    <w:rsid w:val="547867E4"/>
    <w:rsid w:val="54902A3E"/>
    <w:rsid w:val="54D801BF"/>
    <w:rsid w:val="55D35838"/>
    <w:rsid w:val="5654132B"/>
    <w:rsid w:val="56683038"/>
    <w:rsid w:val="570B1619"/>
    <w:rsid w:val="571D3ACF"/>
    <w:rsid w:val="579E36FC"/>
    <w:rsid w:val="57CB04A3"/>
    <w:rsid w:val="585A6483"/>
    <w:rsid w:val="589562E6"/>
    <w:rsid w:val="59682B98"/>
    <w:rsid w:val="596A0CA1"/>
    <w:rsid w:val="59E7289B"/>
    <w:rsid w:val="5A75509F"/>
    <w:rsid w:val="5DE25ED7"/>
    <w:rsid w:val="5E440AE5"/>
    <w:rsid w:val="5E5B7DB2"/>
    <w:rsid w:val="5EEB36FB"/>
    <w:rsid w:val="5F793590"/>
    <w:rsid w:val="5FF21D71"/>
    <w:rsid w:val="60260910"/>
    <w:rsid w:val="60CA36E9"/>
    <w:rsid w:val="61263823"/>
    <w:rsid w:val="61CE74E9"/>
    <w:rsid w:val="62B7746F"/>
    <w:rsid w:val="62C80075"/>
    <w:rsid w:val="643C3030"/>
    <w:rsid w:val="64C351C9"/>
    <w:rsid w:val="65EF6855"/>
    <w:rsid w:val="66856F26"/>
    <w:rsid w:val="669D04F3"/>
    <w:rsid w:val="66B442C8"/>
    <w:rsid w:val="67933F23"/>
    <w:rsid w:val="67E56E3C"/>
    <w:rsid w:val="69695CED"/>
    <w:rsid w:val="69EE25FC"/>
    <w:rsid w:val="6A005D72"/>
    <w:rsid w:val="6A2615C1"/>
    <w:rsid w:val="6ADF64D4"/>
    <w:rsid w:val="6B184E3F"/>
    <w:rsid w:val="6B4158DD"/>
    <w:rsid w:val="6C0A45B8"/>
    <w:rsid w:val="6C4B1C5D"/>
    <w:rsid w:val="6D107EE5"/>
    <w:rsid w:val="6EF92B79"/>
    <w:rsid w:val="6F163FFC"/>
    <w:rsid w:val="6FD74CC8"/>
    <w:rsid w:val="70831D90"/>
    <w:rsid w:val="716737EF"/>
    <w:rsid w:val="71DD3D20"/>
    <w:rsid w:val="71E539B0"/>
    <w:rsid w:val="724D78FF"/>
    <w:rsid w:val="738933CC"/>
    <w:rsid w:val="73C74ADE"/>
    <w:rsid w:val="73D256AB"/>
    <w:rsid w:val="74AE5ED8"/>
    <w:rsid w:val="758B1E9C"/>
    <w:rsid w:val="77340848"/>
    <w:rsid w:val="77FA7F02"/>
    <w:rsid w:val="79A165E9"/>
    <w:rsid w:val="79B72E6D"/>
    <w:rsid w:val="79CF325D"/>
    <w:rsid w:val="79F6213F"/>
    <w:rsid w:val="7A8F4864"/>
    <w:rsid w:val="7AEC10E0"/>
    <w:rsid w:val="7AFF430E"/>
    <w:rsid w:val="7B7878D4"/>
    <w:rsid w:val="7C071313"/>
    <w:rsid w:val="7C4222AB"/>
    <w:rsid w:val="7C4F349E"/>
    <w:rsid w:val="7C7D52A7"/>
    <w:rsid w:val="7D226818"/>
    <w:rsid w:val="7D4045F2"/>
    <w:rsid w:val="7D7753DC"/>
    <w:rsid w:val="7E2C1FC8"/>
    <w:rsid w:val="7E3F6D7C"/>
    <w:rsid w:val="7EBF521C"/>
    <w:rsid w:val="7F9470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
    <w:name w:val="Footer Char"/>
    <w:basedOn w:val="6"/>
    <w:link w:val="2"/>
    <w:autoRedefine/>
    <w:qFormat/>
    <w:locked/>
    <w:uiPriority w:val="99"/>
    <w:rPr>
      <w:rFonts w:cs="Times New Roman"/>
      <w:kern w:val="2"/>
      <w:sz w:val="18"/>
      <w:szCs w:val="18"/>
    </w:rPr>
  </w:style>
  <w:style w:type="character" w:customStyle="1" w:styleId="8">
    <w:name w:val="Header Char"/>
    <w:basedOn w:val="6"/>
    <w:link w:val="3"/>
    <w:autoRedefine/>
    <w:qFormat/>
    <w:locked/>
    <w:uiPriority w:val="99"/>
    <w:rPr>
      <w:rFonts w:cs="Times New Roman"/>
      <w:kern w:val="2"/>
      <w:sz w:val="18"/>
      <w:szCs w:val="18"/>
    </w:rPr>
  </w:style>
  <w:style w:type="character" w:customStyle="1" w:styleId="9">
    <w:name w:val="apple-converted-space"/>
    <w:basedOn w:val="6"/>
    <w:autoRedefine/>
    <w:qFormat/>
    <w:uiPriority w:val="99"/>
    <w:rPr>
      <w:rFonts w:cs="Times New Roman"/>
    </w:rPr>
  </w:style>
  <w:style w:type="paragraph" w:customStyle="1" w:styleId="10">
    <w:name w:val="List Paragraph1"/>
    <w:basedOn w:val="1"/>
    <w:autoRedefine/>
    <w:qFormat/>
    <w:uiPriority w:val="99"/>
    <w:pPr>
      <w:ind w:firstLine="420" w:firstLineChars="200"/>
    </w:pPr>
  </w:style>
  <w:style w:type="character" w:customStyle="1" w:styleId="11">
    <w:name w:val="fontstyle11"/>
    <w:basedOn w:val="6"/>
    <w:qFormat/>
    <w:uiPriority w:val="99"/>
    <w:rPr>
      <w:rFonts w:ascii="仿宋" w:hAnsi="仿宋" w:eastAsia="仿宋" w:cs="仿宋"/>
      <w:color w:val="000000"/>
      <w:sz w:val="32"/>
      <w:szCs w:val="32"/>
    </w:rPr>
  </w:style>
  <w:style w:type="character" w:customStyle="1" w:styleId="12">
    <w:name w:val="fontstyle41"/>
    <w:basedOn w:val="6"/>
    <w:autoRedefine/>
    <w:qFormat/>
    <w:uiPriority w:val="99"/>
    <w:rPr>
      <w:rFonts w:ascii="楷体" w:hAnsi="楷体" w:eastAsia="楷体" w:cs="楷体"/>
      <w:color w:val="000000"/>
      <w:sz w:val="32"/>
      <w:szCs w:val="32"/>
    </w:rPr>
  </w:style>
  <w:style w:type="character" w:customStyle="1" w:styleId="13">
    <w:name w:val="style91"/>
    <w:basedOn w:val="6"/>
    <w:autoRedefine/>
    <w:qFormat/>
    <w:uiPriority w:val="0"/>
    <w:rPr>
      <w:sz w:val="21"/>
      <w:szCs w:val="21"/>
    </w:rPr>
  </w:style>
  <w:style w:type="paragraph" w:customStyle="1" w:styleId="14">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9662</Words>
  <Characters>11873</Characters>
  <Lines>0</Lines>
  <Paragraphs>0</Paragraphs>
  <TotalTime>0</TotalTime>
  <ScaleCrop>false</ScaleCrop>
  <LinksUpToDate>false</LinksUpToDate>
  <CharactersWithSpaces>11956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2018-04-02T07:53:00Z</dcterms:created>
  <dc:creator>Administrator</dc:creator>
  <cp:lastModifiedBy>期待</cp:lastModifiedBy>
  <cp:lastPrinted>2017-04-25T08:49:00Z</cp:lastPrinted>
  <dcterms:modified xsi:type="dcterms:W3CDTF">2024-03-15T02:10:02Z</dcterms:modified>
  <dc:title>清苑区环境保护局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A26E2E8B6EFD42EDA6540A786B431044_13</vt:lpwstr>
  </property>
</Properties>
</file>