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EBB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shd w:val="clear" w:fill="FFFFFF"/>
        </w:rPr>
      </w:pPr>
      <w:r>
        <w:rPr>
          <w:rFonts w:hint="eastAsia" w:ascii="宋体" w:hAnsi="宋体" w:eastAsia="宋体" w:cs="宋体"/>
          <w:i w:val="0"/>
          <w:iCs w:val="0"/>
          <w:caps w:val="0"/>
          <w:color w:val="666666"/>
          <w:spacing w:val="0"/>
          <w:sz w:val="44"/>
          <w:szCs w:val="44"/>
          <w:shd w:val="clear" w:fill="FFFFFF"/>
        </w:rPr>
        <w:t> </w:t>
      </w:r>
      <w:r>
        <w:rPr>
          <w:rFonts w:hint="eastAsia" w:ascii="宋体" w:hAnsi="宋体" w:eastAsia="宋体" w:cs="宋体"/>
          <w:b/>
          <w:bCs/>
          <w:i w:val="0"/>
          <w:iCs w:val="0"/>
          <w:caps w:val="0"/>
          <w:color w:val="auto"/>
          <w:spacing w:val="0"/>
          <w:sz w:val="44"/>
          <w:szCs w:val="44"/>
          <w:shd w:val="clear" w:fill="FFFFFF"/>
        </w:rPr>
        <w:t>白沟新城管委会综合办公室</w:t>
      </w:r>
      <w:r>
        <w:rPr>
          <w:rFonts w:hint="eastAsia" w:ascii="宋体" w:hAnsi="宋体" w:eastAsia="宋体" w:cs="宋体"/>
          <w:b/>
          <w:bCs/>
          <w:i w:val="0"/>
          <w:iCs w:val="0"/>
          <w:caps w:val="0"/>
          <w:color w:val="auto"/>
          <w:spacing w:val="0"/>
          <w:sz w:val="44"/>
          <w:szCs w:val="44"/>
          <w:shd w:val="clear" w:fill="FFFFFF"/>
          <w:lang w:val="en-US" w:eastAsia="zh-CN"/>
        </w:rPr>
        <w:t xml:space="preserve">        </w:t>
      </w:r>
      <w:r>
        <w:rPr>
          <w:rFonts w:hint="eastAsia" w:ascii="宋体" w:hAnsi="宋体" w:eastAsia="宋体" w:cs="宋体"/>
          <w:b/>
          <w:bCs/>
          <w:i w:val="0"/>
          <w:iCs w:val="0"/>
          <w:caps w:val="0"/>
          <w:color w:val="auto"/>
          <w:spacing w:val="0"/>
          <w:sz w:val="44"/>
          <w:szCs w:val="44"/>
          <w:shd w:val="clear" w:fill="FFFFFF"/>
        </w:rPr>
        <w:t>202</w:t>
      </w:r>
      <w:r>
        <w:rPr>
          <w:rFonts w:hint="eastAsia" w:ascii="宋体" w:hAnsi="宋体" w:eastAsia="宋体" w:cs="宋体"/>
          <w:b/>
          <w:bCs/>
          <w:i w:val="0"/>
          <w:iCs w:val="0"/>
          <w:caps w:val="0"/>
          <w:color w:val="auto"/>
          <w:spacing w:val="0"/>
          <w:sz w:val="44"/>
          <w:szCs w:val="44"/>
          <w:shd w:val="clear" w:fill="FFFFFF"/>
          <w:lang w:val="en-US" w:eastAsia="zh-CN"/>
        </w:rPr>
        <w:t>4</w:t>
      </w:r>
      <w:r>
        <w:rPr>
          <w:rFonts w:hint="eastAsia" w:ascii="宋体" w:hAnsi="宋体" w:eastAsia="宋体" w:cs="宋体"/>
          <w:b/>
          <w:bCs/>
          <w:i w:val="0"/>
          <w:iCs w:val="0"/>
          <w:caps w:val="0"/>
          <w:color w:val="auto"/>
          <w:spacing w:val="0"/>
          <w:sz w:val="44"/>
          <w:szCs w:val="44"/>
          <w:shd w:val="clear" w:fill="FFFFFF"/>
        </w:rPr>
        <w:t>年政府信息公开工作年度报告</w:t>
      </w:r>
      <w:bookmarkStart w:id="0" w:name="_GoBack"/>
      <w:bookmarkEnd w:id="0"/>
    </w:p>
    <w:p w14:paraId="73FEB1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shd w:val="clear" w:fill="FFFFFF"/>
        </w:rPr>
      </w:pPr>
    </w:p>
    <w:p w14:paraId="668076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 xml:space="preserve">      </w:t>
      </w:r>
      <w:r>
        <w:rPr>
          <w:rFonts w:hint="eastAsia" w:ascii="仿宋" w:hAnsi="仿宋" w:eastAsia="仿宋" w:cs="仿宋"/>
          <w:i w:val="0"/>
          <w:iCs w:val="0"/>
          <w:caps w:val="0"/>
          <w:color w:val="666666"/>
          <w:spacing w:val="0"/>
          <w:sz w:val="32"/>
          <w:szCs w:val="32"/>
          <w:shd w:val="clear" w:fill="FFFFFF"/>
        </w:rPr>
        <w:t>本报告根据《中华人民共和国政府信息公开条例》《河北省实施〈中华人民共和国政府信息公开条例〉办法》等规定，发布本年度报告。报告中所列数据统计期限为202</w:t>
      </w:r>
      <w:r>
        <w:rPr>
          <w:rFonts w:hint="eastAsia" w:ascii="仿宋" w:hAnsi="仿宋" w:eastAsia="仿宋" w:cs="仿宋"/>
          <w:i w:val="0"/>
          <w:iCs w:val="0"/>
          <w:caps w:val="0"/>
          <w:color w:val="666666"/>
          <w:spacing w:val="0"/>
          <w:sz w:val="32"/>
          <w:szCs w:val="32"/>
          <w:shd w:val="clear" w:fill="FFFFFF"/>
          <w:lang w:val="en-US" w:eastAsia="zh-CN"/>
        </w:rPr>
        <w:t>4</w:t>
      </w:r>
      <w:r>
        <w:rPr>
          <w:rFonts w:hint="eastAsia" w:ascii="仿宋" w:hAnsi="仿宋" w:eastAsia="仿宋" w:cs="仿宋"/>
          <w:i w:val="0"/>
          <w:iCs w:val="0"/>
          <w:caps w:val="0"/>
          <w:color w:val="666666"/>
          <w:spacing w:val="0"/>
          <w:sz w:val="32"/>
          <w:szCs w:val="32"/>
          <w:shd w:val="clear" w:fill="FFFFFF"/>
        </w:rPr>
        <w:t>年1月1日至12月31日。</w:t>
      </w:r>
    </w:p>
    <w:p w14:paraId="5D6CDE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黑体" w:hAnsi="黑体" w:eastAsia="黑体" w:cs="黑体"/>
          <w:i w:val="0"/>
          <w:iCs w:val="0"/>
          <w:caps w:val="0"/>
          <w:color w:val="666666"/>
          <w:spacing w:val="0"/>
          <w:sz w:val="32"/>
          <w:szCs w:val="32"/>
        </w:rPr>
      </w:pPr>
      <w:r>
        <w:rPr>
          <w:rFonts w:hint="eastAsia" w:ascii="黑体" w:hAnsi="黑体" w:eastAsia="黑体" w:cs="黑体"/>
          <w:i w:val="0"/>
          <w:iCs w:val="0"/>
          <w:caps w:val="0"/>
          <w:color w:val="666666"/>
          <w:spacing w:val="0"/>
          <w:sz w:val="32"/>
          <w:szCs w:val="32"/>
          <w:shd w:val="clear" w:fill="FFFFFF"/>
        </w:rPr>
        <w:t>      一、总体情况</w:t>
      </w:r>
    </w:p>
    <w:p w14:paraId="359316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666666"/>
          <w:spacing w:val="0"/>
          <w:sz w:val="32"/>
          <w:szCs w:val="32"/>
          <w:shd w:val="clear" w:fill="FFFFFF"/>
        </w:rPr>
      </w:pPr>
      <w:r>
        <w:rPr>
          <w:rFonts w:hint="eastAsia" w:ascii="微软雅黑" w:hAnsi="微软雅黑" w:eastAsia="微软雅黑" w:cs="微软雅黑"/>
          <w:i w:val="0"/>
          <w:iCs w:val="0"/>
          <w:caps w:val="0"/>
          <w:color w:val="666666"/>
          <w:spacing w:val="0"/>
          <w:sz w:val="24"/>
          <w:szCs w:val="24"/>
          <w:shd w:val="clear" w:fill="FFFFFF"/>
        </w:rPr>
        <w:t xml:space="preserve">      </w:t>
      </w:r>
      <w:r>
        <w:rPr>
          <w:rFonts w:hint="eastAsia" w:ascii="仿宋" w:hAnsi="仿宋" w:eastAsia="仿宋" w:cs="仿宋"/>
          <w:i w:val="0"/>
          <w:iCs w:val="0"/>
          <w:caps w:val="0"/>
          <w:color w:val="666666"/>
          <w:spacing w:val="0"/>
          <w:sz w:val="32"/>
          <w:szCs w:val="32"/>
          <w:shd w:val="clear" w:fill="FFFFFF"/>
        </w:rPr>
        <w:t>202</w:t>
      </w:r>
      <w:r>
        <w:rPr>
          <w:rFonts w:hint="eastAsia" w:ascii="仿宋" w:hAnsi="仿宋" w:eastAsia="仿宋" w:cs="仿宋"/>
          <w:i w:val="0"/>
          <w:iCs w:val="0"/>
          <w:caps w:val="0"/>
          <w:color w:val="666666"/>
          <w:spacing w:val="0"/>
          <w:sz w:val="32"/>
          <w:szCs w:val="32"/>
          <w:shd w:val="clear" w:fill="FFFFFF"/>
          <w:lang w:val="en-US" w:eastAsia="zh-CN"/>
        </w:rPr>
        <w:t>4</w:t>
      </w:r>
      <w:r>
        <w:rPr>
          <w:rFonts w:hint="eastAsia" w:ascii="仿宋" w:hAnsi="仿宋" w:eastAsia="仿宋" w:cs="仿宋"/>
          <w:i w:val="0"/>
          <w:iCs w:val="0"/>
          <w:caps w:val="0"/>
          <w:color w:val="666666"/>
          <w:spacing w:val="0"/>
          <w:sz w:val="32"/>
          <w:szCs w:val="32"/>
          <w:shd w:val="clear" w:fill="FFFFFF"/>
        </w:rPr>
        <w:t>年，白沟新城管委会办公室坚持以习近平新时代中国特色社会主义思想为指导，认真贯彻执行党中央、国务院和省委、省政府关于政务公开工作决策部署，准确执行《中华人民共和国政府信息公开条例》，以公开促落实，以公开促规范，以公开促服务，收到良好的效果。</w:t>
      </w:r>
    </w:p>
    <w:p w14:paraId="392E3C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666666"/>
          <w:spacing w:val="0"/>
          <w:sz w:val="32"/>
          <w:szCs w:val="32"/>
          <w:shd w:val="clear" w:fill="FFFFFF"/>
        </w:rPr>
      </w:pPr>
      <w:r>
        <w:rPr>
          <w:rFonts w:hint="eastAsia" w:ascii="微软雅黑" w:hAnsi="微软雅黑" w:eastAsia="微软雅黑" w:cs="微软雅黑"/>
          <w:i w:val="0"/>
          <w:iCs w:val="0"/>
          <w:caps w:val="0"/>
          <w:color w:val="666666"/>
          <w:spacing w:val="0"/>
          <w:sz w:val="24"/>
          <w:szCs w:val="24"/>
          <w:shd w:val="clear" w:fill="FFFFFF"/>
        </w:rPr>
        <w:t>     </w:t>
      </w:r>
      <w:r>
        <w:rPr>
          <w:rFonts w:hint="eastAsia" w:ascii="楷体" w:hAnsi="楷体" w:eastAsia="楷体" w:cs="楷体"/>
          <w:i w:val="0"/>
          <w:iCs w:val="0"/>
          <w:caps w:val="0"/>
          <w:color w:val="666666"/>
          <w:spacing w:val="0"/>
          <w:sz w:val="32"/>
          <w:szCs w:val="32"/>
          <w:shd w:val="clear" w:fill="FFFFFF"/>
        </w:rPr>
        <w:t xml:space="preserve"> （一）提高主动公开实效。</w:t>
      </w:r>
      <w:r>
        <w:rPr>
          <w:rFonts w:hint="eastAsia" w:ascii="仿宋" w:hAnsi="仿宋" w:eastAsia="仿宋" w:cs="仿宋"/>
          <w:i w:val="0"/>
          <w:iCs w:val="0"/>
          <w:caps w:val="0"/>
          <w:color w:val="666666"/>
          <w:spacing w:val="0"/>
          <w:sz w:val="32"/>
          <w:szCs w:val="32"/>
          <w:shd w:val="clear" w:fill="FFFFFF"/>
        </w:rPr>
        <w:t>紧扣“十四五”开好局，深化重点领域信息公开，加强政策解读，推进规划信息的归集整理和公开，制定公共企事业单位信息公开相关制度，做好政府部门权责清单及配套权力运行流程图和办事指南公开，及时公开市场管理、财政预决算、疫情防控等信息，实现了重大建设项目全生命周期公开。全年主动公开政府信息</w:t>
      </w:r>
      <w:r>
        <w:rPr>
          <w:rFonts w:hint="eastAsia" w:ascii="仿宋" w:hAnsi="仿宋" w:eastAsia="仿宋" w:cs="仿宋"/>
          <w:i w:val="0"/>
          <w:iCs w:val="0"/>
          <w:caps w:val="0"/>
          <w:color w:val="666666"/>
          <w:spacing w:val="0"/>
          <w:sz w:val="32"/>
          <w:szCs w:val="32"/>
          <w:shd w:val="clear" w:fill="FFFFFF"/>
          <w:lang w:val="en-US" w:eastAsia="zh-CN"/>
        </w:rPr>
        <w:t>2310</w:t>
      </w:r>
      <w:r>
        <w:rPr>
          <w:rFonts w:hint="eastAsia" w:ascii="仿宋" w:hAnsi="仿宋" w:eastAsia="仿宋" w:cs="仿宋"/>
          <w:i w:val="0"/>
          <w:iCs w:val="0"/>
          <w:caps w:val="0"/>
          <w:color w:val="666666"/>
          <w:spacing w:val="0"/>
          <w:sz w:val="32"/>
          <w:szCs w:val="32"/>
          <w:shd w:val="clear" w:fill="FFFFFF"/>
        </w:rPr>
        <w:t>条。</w:t>
      </w:r>
    </w:p>
    <w:p w14:paraId="7280DA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666666"/>
          <w:spacing w:val="0"/>
          <w:sz w:val="32"/>
          <w:szCs w:val="32"/>
          <w:shd w:val="clear" w:fill="FFFFFF"/>
        </w:rPr>
      </w:pPr>
      <w:r>
        <w:rPr>
          <w:rFonts w:hint="eastAsia" w:ascii="微软雅黑" w:hAnsi="微软雅黑" w:eastAsia="微软雅黑" w:cs="微软雅黑"/>
          <w:i w:val="0"/>
          <w:iCs w:val="0"/>
          <w:caps w:val="0"/>
          <w:color w:val="666666"/>
          <w:spacing w:val="0"/>
          <w:sz w:val="24"/>
          <w:szCs w:val="24"/>
          <w:shd w:val="clear" w:fill="FFFFFF"/>
        </w:rPr>
        <w:t xml:space="preserve">      </w:t>
      </w:r>
      <w:r>
        <w:rPr>
          <w:rFonts w:hint="eastAsia" w:ascii="楷体" w:hAnsi="楷体" w:eastAsia="楷体" w:cs="楷体"/>
          <w:i w:val="0"/>
          <w:iCs w:val="0"/>
          <w:caps w:val="0"/>
          <w:color w:val="666666"/>
          <w:spacing w:val="0"/>
          <w:sz w:val="32"/>
          <w:szCs w:val="32"/>
          <w:shd w:val="clear" w:fill="FFFFFF"/>
        </w:rPr>
        <w:t>（二）积极做好依申请公开。</w:t>
      </w:r>
      <w:r>
        <w:rPr>
          <w:rFonts w:hint="eastAsia" w:ascii="仿宋" w:hAnsi="仿宋" w:eastAsia="仿宋" w:cs="仿宋"/>
          <w:i w:val="0"/>
          <w:iCs w:val="0"/>
          <w:caps w:val="0"/>
          <w:color w:val="666666"/>
          <w:spacing w:val="0"/>
          <w:sz w:val="32"/>
          <w:szCs w:val="32"/>
          <w:shd w:val="clear" w:fill="FFFFFF"/>
        </w:rPr>
        <w:t>严格按照《中华人民共和国政府信息公开条例》《河北省政府信息公开申请办理规范》，进一步提升政府信息公开申请办理水平，健全完善相关制度，推行答复格式文书标准化，降低政府信息公开错误率和复议率。全年受理依申请公开1</w:t>
      </w:r>
      <w:r>
        <w:rPr>
          <w:rFonts w:hint="eastAsia" w:ascii="仿宋" w:hAnsi="仿宋" w:eastAsia="仿宋" w:cs="仿宋"/>
          <w:i w:val="0"/>
          <w:iCs w:val="0"/>
          <w:caps w:val="0"/>
          <w:color w:val="666666"/>
          <w:spacing w:val="0"/>
          <w:sz w:val="32"/>
          <w:szCs w:val="32"/>
          <w:shd w:val="clear" w:fill="FFFFFF"/>
          <w:lang w:val="en-US" w:eastAsia="zh-CN"/>
        </w:rPr>
        <w:t>09</w:t>
      </w:r>
      <w:r>
        <w:rPr>
          <w:rFonts w:hint="eastAsia" w:ascii="仿宋" w:hAnsi="仿宋" w:eastAsia="仿宋" w:cs="仿宋"/>
          <w:i w:val="0"/>
          <w:iCs w:val="0"/>
          <w:caps w:val="0"/>
          <w:color w:val="666666"/>
          <w:spacing w:val="0"/>
          <w:sz w:val="32"/>
          <w:szCs w:val="32"/>
          <w:shd w:val="clear" w:fill="FFFFFF"/>
        </w:rPr>
        <w:t>件，全部依法依规妥善处理。</w:t>
      </w:r>
    </w:p>
    <w:p w14:paraId="6DB51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666666"/>
          <w:spacing w:val="0"/>
          <w:sz w:val="32"/>
          <w:szCs w:val="32"/>
          <w:shd w:val="clear" w:fill="FFFFFF"/>
        </w:rPr>
      </w:pPr>
      <w:r>
        <w:rPr>
          <w:rFonts w:hint="eastAsia" w:ascii="微软雅黑" w:hAnsi="微软雅黑" w:eastAsia="微软雅黑" w:cs="微软雅黑"/>
          <w:i w:val="0"/>
          <w:iCs w:val="0"/>
          <w:caps w:val="0"/>
          <w:color w:val="666666"/>
          <w:spacing w:val="0"/>
          <w:sz w:val="24"/>
          <w:szCs w:val="24"/>
          <w:shd w:val="clear" w:fill="FFFFFF"/>
        </w:rPr>
        <w:t>     </w:t>
      </w:r>
      <w:r>
        <w:rPr>
          <w:rFonts w:hint="eastAsia" w:ascii="楷体" w:hAnsi="楷体" w:eastAsia="楷体" w:cs="楷体"/>
          <w:i w:val="0"/>
          <w:iCs w:val="0"/>
          <w:caps w:val="0"/>
          <w:color w:val="666666"/>
          <w:spacing w:val="0"/>
          <w:sz w:val="32"/>
          <w:szCs w:val="32"/>
          <w:shd w:val="clear" w:fill="FFFFFF"/>
        </w:rPr>
        <w:t xml:space="preserve"> （三）规范政府信息管理。</w:t>
      </w:r>
      <w:r>
        <w:rPr>
          <w:rFonts w:hint="eastAsia" w:ascii="仿宋" w:hAnsi="仿宋" w:eastAsia="仿宋" w:cs="仿宋"/>
          <w:i w:val="0"/>
          <w:iCs w:val="0"/>
          <w:caps w:val="0"/>
          <w:color w:val="666666"/>
          <w:spacing w:val="0"/>
          <w:sz w:val="32"/>
          <w:szCs w:val="32"/>
          <w:shd w:val="clear" w:fill="FFFFFF"/>
        </w:rPr>
        <w:t>按照国务院办公厅《关于做好规章集中公开并动态更新工作的通知》及省、市要求，白沟新城管委会办公室对照中国政府法制信息网行政法规库公布的行政法规国家正式版本，全面、及时、规范更新行政法规文本。目前，我区认真贯彻执行《河北省规范性文件管理办法》《保定市人民政府办公室关于进一步规范市政府文件信息公开审查工作的通知》，进一步规范政府信息管理。</w:t>
      </w:r>
    </w:p>
    <w:p w14:paraId="771E52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666666"/>
          <w:spacing w:val="0"/>
          <w:sz w:val="32"/>
          <w:szCs w:val="32"/>
          <w:shd w:val="clear" w:fill="FFFFFF"/>
        </w:rPr>
      </w:pPr>
      <w:r>
        <w:rPr>
          <w:rFonts w:hint="eastAsia" w:ascii="微软雅黑" w:hAnsi="微软雅黑" w:eastAsia="微软雅黑" w:cs="微软雅黑"/>
          <w:i w:val="0"/>
          <w:iCs w:val="0"/>
          <w:caps w:val="0"/>
          <w:color w:val="666666"/>
          <w:spacing w:val="0"/>
          <w:sz w:val="24"/>
          <w:szCs w:val="24"/>
          <w:shd w:val="clear" w:fill="FFFFFF"/>
        </w:rPr>
        <w:t xml:space="preserve">      </w:t>
      </w:r>
      <w:r>
        <w:rPr>
          <w:rFonts w:hint="eastAsia" w:ascii="楷体" w:hAnsi="楷体" w:eastAsia="楷体" w:cs="楷体"/>
          <w:i w:val="0"/>
          <w:iCs w:val="0"/>
          <w:caps w:val="0"/>
          <w:color w:val="666666"/>
          <w:spacing w:val="0"/>
          <w:sz w:val="32"/>
          <w:szCs w:val="32"/>
          <w:shd w:val="clear" w:fill="FFFFFF"/>
        </w:rPr>
        <w:t>（四）推进政府信息平台建设。</w:t>
      </w:r>
      <w:r>
        <w:rPr>
          <w:rFonts w:hint="eastAsia" w:ascii="仿宋" w:hAnsi="仿宋" w:eastAsia="仿宋" w:cs="仿宋"/>
          <w:i w:val="0"/>
          <w:iCs w:val="0"/>
          <w:caps w:val="0"/>
          <w:color w:val="666666"/>
          <w:spacing w:val="0"/>
          <w:sz w:val="32"/>
          <w:szCs w:val="32"/>
          <w:shd w:val="clear" w:fill="FFFFFF"/>
        </w:rPr>
        <w:t>充分发挥政府网站信息公开第一平台作用，优化栏目设置，丰富公开内容，利用“政策文件”“政策解读”“财政（务）预决算”“重点领域信息公开”等专栏，主动公开各类政府信息，发布相关政策解读；强化政务新媒体常态化监管，实行政务新媒体日常监测、督办、定期通报制度，集中整治“娱乐化”“空壳”等问题；编发《文件汇编》，并发布扫描版，实现全部数字化上网发布。</w:t>
      </w:r>
    </w:p>
    <w:p w14:paraId="7AE001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666666"/>
          <w:spacing w:val="0"/>
          <w:sz w:val="32"/>
          <w:szCs w:val="32"/>
          <w:shd w:val="clear" w:fill="FFFFFF"/>
        </w:rPr>
      </w:pPr>
      <w:r>
        <w:rPr>
          <w:rFonts w:hint="eastAsia" w:ascii="微软雅黑" w:hAnsi="微软雅黑" w:eastAsia="微软雅黑" w:cs="微软雅黑"/>
          <w:i w:val="0"/>
          <w:iCs w:val="0"/>
          <w:caps w:val="0"/>
          <w:color w:val="666666"/>
          <w:spacing w:val="0"/>
          <w:sz w:val="24"/>
          <w:szCs w:val="24"/>
          <w:shd w:val="clear" w:fill="FFFFFF"/>
        </w:rPr>
        <w:t xml:space="preserve">      </w:t>
      </w:r>
      <w:r>
        <w:rPr>
          <w:rFonts w:hint="eastAsia" w:ascii="楷体" w:hAnsi="楷体" w:eastAsia="楷体" w:cs="楷体"/>
          <w:i w:val="0"/>
          <w:iCs w:val="0"/>
          <w:caps w:val="0"/>
          <w:color w:val="666666"/>
          <w:spacing w:val="0"/>
          <w:sz w:val="32"/>
          <w:szCs w:val="32"/>
          <w:shd w:val="clear" w:fill="FFFFFF"/>
        </w:rPr>
        <w:t>（五）强化监督考评。</w:t>
      </w:r>
      <w:r>
        <w:rPr>
          <w:rFonts w:hint="eastAsia" w:ascii="仿宋" w:hAnsi="仿宋" w:eastAsia="仿宋" w:cs="仿宋"/>
          <w:i w:val="0"/>
          <w:iCs w:val="0"/>
          <w:caps w:val="0"/>
          <w:color w:val="666666"/>
          <w:spacing w:val="0"/>
          <w:sz w:val="32"/>
          <w:szCs w:val="32"/>
          <w:shd w:val="clear" w:fill="FFFFFF"/>
        </w:rPr>
        <w:t>转发了省政府办公厅《关于印发〈河北省政务公开工作考核办法〉〈河北省政务公开工作社会评议办法〉〈河北省政务公开工作责任追究办法〉的通知》、《202</w:t>
      </w:r>
      <w:r>
        <w:rPr>
          <w:rFonts w:hint="eastAsia" w:ascii="仿宋" w:hAnsi="仿宋" w:eastAsia="仿宋" w:cs="仿宋"/>
          <w:i w:val="0"/>
          <w:iCs w:val="0"/>
          <w:caps w:val="0"/>
          <w:color w:val="666666"/>
          <w:spacing w:val="0"/>
          <w:sz w:val="32"/>
          <w:szCs w:val="32"/>
          <w:shd w:val="clear" w:fill="FFFFFF"/>
          <w:lang w:val="en-US" w:eastAsia="zh-CN"/>
        </w:rPr>
        <w:t>4</w:t>
      </w:r>
      <w:r>
        <w:rPr>
          <w:rFonts w:hint="eastAsia" w:ascii="仿宋" w:hAnsi="仿宋" w:eastAsia="仿宋" w:cs="仿宋"/>
          <w:i w:val="0"/>
          <w:iCs w:val="0"/>
          <w:caps w:val="0"/>
          <w:color w:val="666666"/>
          <w:spacing w:val="0"/>
          <w:sz w:val="32"/>
          <w:szCs w:val="32"/>
          <w:shd w:val="clear" w:fill="FFFFFF"/>
        </w:rPr>
        <w:t>年度政务公开第三方评估指标体系的通知》，及国务院办公厅《202</w:t>
      </w:r>
      <w:r>
        <w:rPr>
          <w:rFonts w:hint="eastAsia" w:ascii="仿宋" w:hAnsi="仿宋" w:eastAsia="仿宋" w:cs="仿宋"/>
          <w:i w:val="0"/>
          <w:iCs w:val="0"/>
          <w:caps w:val="0"/>
          <w:color w:val="666666"/>
          <w:spacing w:val="0"/>
          <w:sz w:val="32"/>
          <w:szCs w:val="32"/>
          <w:shd w:val="clear" w:fill="FFFFFF"/>
          <w:lang w:val="en-US" w:eastAsia="zh-CN"/>
        </w:rPr>
        <w:t>4</w:t>
      </w:r>
      <w:r>
        <w:rPr>
          <w:rFonts w:hint="eastAsia" w:ascii="仿宋" w:hAnsi="仿宋" w:eastAsia="仿宋" w:cs="仿宋"/>
          <w:i w:val="0"/>
          <w:iCs w:val="0"/>
          <w:caps w:val="0"/>
          <w:color w:val="666666"/>
          <w:spacing w:val="0"/>
          <w:sz w:val="32"/>
          <w:szCs w:val="32"/>
          <w:shd w:val="clear" w:fill="FFFFFF"/>
        </w:rPr>
        <w:t>年政务公开第三方评估指标》。印发了《保定市人民政府办公室关于</w:t>
      </w:r>
      <w:r>
        <w:rPr>
          <w:rFonts w:hint="eastAsia" w:ascii="仿宋" w:hAnsi="仿宋" w:eastAsia="仿宋" w:cs="仿宋"/>
          <w:i w:val="0"/>
          <w:iCs w:val="0"/>
          <w:caps w:val="0"/>
          <w:color w:val="666666"/>
          <w:spacing w:val="0"/>
          <w:sz w:val="32"/>
          <w:szCs w:val="32"/>
          <w:shd w:val="clear" w:fill="FFFFFF"/>
          <w:lang w:val="en-US" w:eastAsia="zh-CN"/>
        </w:rPr>
        <w:t>2024</w:t>
      </w:r>
      <w:r>
        <w:rPr>
          <w:rFonts w:hint="eastAsia" w:ascii="仿宋" w:hAnsi="仿宋" w:eastAsia="仿宋" w:cs="仿宋"/>
          <w:i w:val="0"/>
          <w:iCs w:val="0"/>
          <w:caps w:val="0"/>
          <w:color w:val="666666"/>
          <w:spacing w:val="0"/>
          <w:sz w:val="32"/>
          <w:szCs w:val="32"/>
          <w:shd w:val="clear" w:fill="FFFFFF"/>
        </w:rPr>
        <w:t>年度政务公开工作考核情况的通报》，下发了《保定市人民政府办公室关于印发保定市202</w:t>
      </w:r>
      <w:r>
        <w:rPr>
          <w:rFonts w:hint="eastAsia" w:ascii="仿宋" w:hAnsi="仿宋" w:eastAsia="仿宋" w:cs="仿宋"/>
          <w:i w:val="0"/>
          <w:iCs w:val="0"/>
          <w:caps w:val="0"/>
          <w:color w:val="666666"/>
          <w:spacing w:val="0"/>
          <w:sz w:val="32"/>
          <w:szCs w:val="32"/>
          <w:shd w:val="clear" w:fill="FFFFFF"/>
          <w:lang w:val="en-US" w:eastAsia="zh-CN"/>
        </w:rPr>
        <w:t>4</w:t>
      </w:r>
      <w:r>
        <w:rPr>
          <w:rFonts w:hint="eastAsia" w:ascii="仿宋" w:hAnsi="仿宋" w:eastAsia="仿宋" w:cs="仿宋"/>
          <w:i w:val="0"/>
          <w:iCs w:val="0"/>
          <w:caps w:val="0"/>
          <w:color w:val="666666"/>
          <w:spacing w:val="0"/>
          <w:sz w:val="32"/>
          <w:szCs w:val="32"/>
          <w:shd w:val="clear" w:fill="FFFFFF"/>
        </w:rPr>
        <w:t>年政务公开工作考核指标的通知》，对各级各部门年度考核提出明确要求。</w:t>
      </w:r>
    </w:p>
    <w:p w14:paraId="28CDA3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w:t>
      </w:r>
      <w:r>
        <w:rPr>
          <w:rFonts w:hint="eastAsia" w:ascii="黑体" w:hAnsi="黑体" w:eastAsia="黑体" w:cs="黑体"/>
          <w:i w:val="0"/>
          <w:iCs w:val="0"/>
          <w:caps w:val="0"/>
          <w:color w:val="666666"/>
          <w:spacing w:val="0"/>
          <w:kern w:val="0"/>
          <w:sz w:val="32"/>
          <w:szCs w:val="32"/>
          <w:shd w:val="clear" w:fill="FFFFFF"/>
          <w:lang w:val="en-US" w:eastAsia="zh-CN" w:bidi="ar"/>
        </w:rPr>
        <w:t xml:space="preserve">   二、主动公开政府信息情况</w:t>
      </w:r>
    </w:p>
    <w:p w14:paraId="56E342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宋体" w:hAnsi="宋体" w:eastAsia="宋体" w:cs="宋体"/>
          <w:i w:val="0"/>
          <w:iCs w:val="0"/>
          <w:caps w:val="0"/>
          <w:color w:val="666666"/>
          <w:spacing w:val="0"/>
          <w:kern w:val="0"/>
          <w:sz w:val="20"/>
          <w:szCs w:val="20"/>
          <w:shd w:val="clear" w:fill="FFFFFF"/>
          <w:lang w:val="en-US" w:eastAsia="zh-CN" w:bidi="ar"/>
        </w:rPr>
        <w:t> </w:t>
      </w:r>
    </w:p>
    <w:tbl>
      <w:tblPr>
        <w:tblStyle w:val="3"/>
        <w:tblW w:w="8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99"/>
        <w:gridCol w:w="2418"/>
        <w:gridCol w:w="2044"/>
        <w:gridCol w:w="2119"/>
      </w:tblGrid>
      <w:tr w14:paraId="00AF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48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2E3EA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第二十条第（一）项</w:t>
            </w:r>
          </w:p>
        </w:tc>
      </w:tr>
      <w:tr w14:paraId="6ED8A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460F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信息内容</w:t>
            </w:r>
          </w:p>
        </w:tc>
        <w:tc>
          <w:tcPr>
            <w:tcW w:w="241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05A23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本年制发件数</w:t>
            </w:r>
          </w:p>
        </w:tc>
        <w:tc>
          <w:tcPr>
            <w:tcW w:w="204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F7D4A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本年废止件数</w:t>
            </w:r>
          </w:p>
        </w:tc>
        <w:tc>
          <w:tcPr>
            <w:tcW w:w="211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DCBC6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现行有效件数</w:t>
            </w:r>
          </w:p>
        </w:tc>
      </w:tr>
      <w:tr w14:paraId="4231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B2AE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规章</w:t>
            </w:r>
          </w:p>
        </w:tc>
        <w:tc>
          <w:tcPr>
            <w:tcW w:w="2418" w:type="dxa"/>
            <w:tcBorders>
              <w:top w:val="nil"/>
              <w:left w:val="nil"/>
              <w:bottom w:val="single" w:color="auto" w:sz="8" w:space="0"/>
              <w:right w:val="single" w:color="auto" w:sz="8" w:space="0"/>
            </w:tcBorders>
            <w:shd w:val="clear" w:color="auto" w:fill="auto"/>
            <w:tcMar>
              <w:left w:w="57" w:type="dxa"/>
              <w:right w:w="57" w:type="dxa"/>
            </w:tcMar>
            <w:vAlign w:val="center"/>
          </w:tcPr>
          <w:p w14:paraId="292174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c>
          <w:tcPr>
            <w:tcW w:w="2044" w:type="dxa"/>
            <w:tcBorders>
              <w:top w:val="nil"/>
              <w:left w:val="nil"/>
              <w:bottom w:val="single" w:color="auto" w:sz="8" w:space="0"/>
              <w:right w:val="single" w:color="auto" w:sz="8" w:space="0"/>
            </w:tcBorders>
            <w:shd w:val="clear" w:color="auto" w:fill="auto"/>
            <w:tcMar>
              <w:left w:w="57" w:type="dxa"/>
              <w:right w:w="57" w:type="dxa"/>
            </w:tcMar>
            <w:vAlign w:val="center"/>
          </w:tcPr>
          <w:p w14:paraId="2F7BD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c>
          <w:tcPr>
            <w:tcW w:w="2119" w:type="dxa"/>
            <w:tcBorders>
              <w:top w:val="nil"/>
              <w:left w:val="nil"/>
              <w:bottom w:val="single" w:color="auto" w:sz="8" w:space="0"/>
              <w:right w:val="single" w:color="auto" w:sz="8" w:space="0"/>
            </w:tcBorders>
            <w:shd w:val="clear" w:color="auto" w:fill="auto"/>
            <w:tcMar>
              <w:left w:w="57" w:type="dxa"/>
              <w:right w:w="57" w:type="dxa"/>
            </w:tcMar>
            <w:vAlign w:val="center"/>
          </w:tcPr>
          <w:p w14:paraId="49ABAD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r>
      <w:tr w14:paraId="1AA1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B6BD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行政规范性文件</w:t>
            </w:r>
          </w:p>
        </w:tc>
        <w:tc>
          <w:tcPr>
            <w:tcW w:w="2418" w:type="dxa"/>
            <w:tcBorders>
              <w:top w:val="nil"/>
              <w:left w:val="nil"/>
              <w:bottom w:val="single" w:color="auto" w:sz="8" w:space="0"/>
              <w:right w:val="single" w:color="auto" w:sz="8" w:space="0"/>
            </w:tcBorders>
            <w:shd w:val="clear" w:color="auto" w:fill="auto"/>
            <w:tcMar>
              <w:left w:w="57" w:type="dxa"/>
              <w:right w:w="57" w:type="dxa"/>
            </w:tcMar>
            <w:vAlign w:val="center"/>
          </w:tcPr>
          <w:p w14:paraId="1919B4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eastAsiaTheme="minorEastAsia"/>
                <w:lang w:val="en-US" w:eastAsia="zh-CN"/>
              </w:rPr>
            </w:pPr>
            <w:r>
              <w:rPr>
                <w:rFonts w:hint="eastAsia"/>
                <w:lang w:val="en-US" w:eastAsia="zh-CN"/>
              </w:rPr>
              <w:t>2</w:t>
            </w:r>
          </w:p>
        </w:tc>
        <w:tc>
          <w:tcPr>
            <w:tcW w:w="2044" w:type="dxa"/>
            <w:tcBorders>
              <w:top w:val="nil"/>
              <w:left w:val="nil"/>
              <w:bottom w:val="single" w:color="auto" w:sz="8" w:space="0"/>
              <w:right w:val="single" w:color="auto" w:sz="8" w:space="0"/>
            </w:tcBorders>
            <w:shd w:val="clear" w:color="auto" w:fill="auto"/>
            <w:tcMar>
              <w:left w:w="57" w:type="dxa"/>
              <w:right w:w="57" w:type="dxa"/>
            </w:tcMar>
            <w:vAlign w:val="center"/>
          </w:tcPr>
          <w:p w14:paraId="34594B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eastAsiaTheme="minorEastAsia"/>
                <w:lang w:val="en-US" w:eastAsia="zh-CN"/>
              </w:rPr>
            </w:pPr>
            <w:r>
              <w:rPr>
                <w:rFonts w:hint="eastAsia"/>
                <w:lang w:val="en-US" w:eastAsia="zh-CN"/>
              </w:rPr>
              <w:t>9</w:t>
            </w:r>
          </w:p>
        </w:tc>
        <w:tc>
          <w:tcPr>
            <w:tcW w:w="2119" w:type="dxa"/>
            <w:tcBorders>
              <w:top w:val="nil"/>
              <w:left w:val="nil"/>
              <w:bottom w:val="single" w:color="auto" w:sz="8" w:space="0"/>
              <w:right w:val="single" w:color="auto" w:sz="8" w:space="0"/>
            </w:tcBorders>
            <w:shd w:val="clear" w:color="auto" w:fill="auto"/>
            <w:tcMar>
              <w:left w:w="57" w:type="dxa"/>
              <w:right w:w="57" w:type="dxa"/>
            </w:tcMar>
            <w:vAlign w:val="center"/>
          </w:tcPr>
          <w:p w14:paraId="2683AD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eastAsiaTheme="minorEastAsia"/>
                <w:lang w:val="en-US" w:eastAsia="zh-CN"/>
              </w:rPr>
            </w:pPr>
            <w:r>
              <w:rPr>
                <w:rFonts w:hint="eastAsia"/>
                <w:lang w:val="en-US" w:eastAsia="zh-CN"/>
              </w:rPr>
              <w:t>15</w:t>
            </w:r>
          </w:p>
        </w:tc>
      </w:tr>
      <w:tr w14:paraId="4A6E2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14A1C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第二十条第（五）项</w:t>
            </w:r>
          </w:p>
        </w:tc>
      </w:tr>
      <w:tr w14:paraId="0A57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1EB1A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信息内容</w:t>
            </w:r>
          </w:p>
        </w:tc>
        <w:tc>
          <w:tcPr>
            <w:tcW w:w="658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EBFC5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本年处理决定数量</w:t>
            </w:r>
          </w:p>
        </w:tc>
      </w:tr>
      <w:tr w14:paraId="17E2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64FF8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行政许可</w:t>
            </w:r>
          </w:p>
        </w:tc>
        <w:tc>
          <w:tcPr>
            <w:tcW w:w="658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DAB96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r>
      <w:tr w14:paraId="5438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D94D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第二十条第（六）项</w:t>
            </w:r>
          </w:p>
        </w:tc>
      </w:tr>
      <w:tr w14:paraId="436F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9B6E2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信息内容</w:t>
            </w:r>
          </w:p>
        </w:tc>
        <w:tc>
          <w:tcPr>
            <w:tcW w:w="6581"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D5ACF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本年处理决定数量</w:t>
            </w:r>
          </w:p>
        </w:tc>
      </w:tr>
      <w:tr w14:paraId="372F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D5124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行政处罚</w:t>
            </w:r>
          </w:p>
        </w:tc>
        <w:tc>
          <w:tcPr>
            <w:tcW w:w="658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C20D8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r>
      <w:tr w14:paraId="00C3C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2AD24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行政强制</w:t>
            </w:r>
          </w:p>
        </w:tc>
        <w:tc>
          <w:tcPr>
            <w:tcW w:w="658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6BAADB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r>
      <w:tr w14:paraId="0FBB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9062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第二十条第（八）项</w:t>
            </w:r>
          </w:p>
        </w:tc>
      </w:tr>
      <w:tr w14:paraId="545B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496D9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信息内容</w:t>
            </w:r>
          </w:p>
        </w:tc>
        <w:tc>
          <w:tcPr>
            <w:tcW w:w="6581"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F2304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本年收费金额（单位：万元）</w:t>
            </w:r>
          </w:p>
        </w:tc>
      </w:tr>
      <w:tr w14:paraId="48C7F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C946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行政事业性收费</w:t>
            </w:r>
          </w:p>
        </w:tc>
        <w:tc>
          <w:tcPr>
            <w:tcW w:w="6581"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5B1AA1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r>
    </w:tbl>
    <w:p w14:paraId="79E5A5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宋体" w:hAnsi="宋体" w:eastAsia="宋体" w:cs="宋体"/>
          <w:i w:val="0"/>
          <w:iCs w:val="0"/>
          <w:caps w:val="0"/>
          <w:color w:val="666666"/>
          <w:spacing w:val="0"/>
          <w:kern w:val="0"/>
          <w:sz w:val="20"/>
          <w:szCs w:val="20"/>
          <w:shd w:val="clear" w:fill="FFFFFF"/>
          <w:lang w:val="en-US" w:eastAsia="zh-CN" w:bidi="ar"/>
        </w:rPr>
        <w:t> </w:t>
      </w:r>
    </w:p>
    <w:p w14:paraId="04ABE1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      </w:t>
      </w:r>
      <w:r>
        <w:rPr>
          <w:rFonts w:hint="eastAsia" w:ascii="黑体" w:hAnsi="黑体" w:eastAsia="黑体" w:cs="黑体"/>
          <w:i w:val="0"/>
          <w:iCs w:val="0"/>
          <w:caps w:val="0"/>
          <w:color w:val="666666"/>
          <w:spacing w:val="0"/>
          <w:kern w:val="0"/>
          <w:sz w:val="32"/>
          <w:szCs w:val="32"/>
          <w:shd w:val="clear" w:fill="FFFFFF"/>
          <w:lang w:val="en-US" w:eastAsia="zh-CN" w:bidi="ar"/>
        </w:rPr>
        <w:t>三、收到和处理政府信息公开申请情况</w:t>
      </w:r>
    </w:p>
    <w:p w14:paraId="6A1330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宋体" w:hAnsi="宋体" w:eastAsia="宋体" w:cs="宋体"/>
          <w:i w:val="0"/>
          <w:iCs w:val="0"/>
          <w:caps w:val="0"/>
          <w:color w:val="666666"/>
          <w:spacing w:val="0"/>
          <w:kern w:val="0"/>
          <w:sz w:val="20"/>
          <w:szCs w:val="20"/>
          <w:shd w:val="clear" w:fill="FFFFFF"/>
          <w:lang w:val="en-US" w:eastAsia="zh-CN" w:bidi="ar"/>
        </w:rPr>
        <w:t> </w:t>
      </w:r>
    </w:p>
    <w:tbl>
      <w:tblPr>
        <w:tblStyle w:val="3"/>
        <w:tblW w:w="8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7"/>
        <w:gridCol w:w="943"/>
        <w:gridCol w:w="2256"/>
        <w:gridCol w:w="694"/>
        <w:gridCol w:w="687"/>
        <w:gridCol w:w="687"/>
        <w:gridCol w:w="687"/>
        <w:gridCol w:w="687"/>
        <w:gridCol w:w="688"/>
        <w:gridCol w:w="695"/>
      </w:tblGrid>
      <w:tr w14:paraId="3184D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96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4CBCA6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（本列数据的勾稽关系为：第一项加第二项之和，等于第三项加第四项之和）</w:t>
            </w:r>
          </w:p>
        </w:tc>
        <w:tc>
          <w:tcPr>
            <w:tcW w:w="482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71372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申请人情况</w:t>
            </w:r>
          </w:p>
        </w:tc>
      </w:tr>
      <w:tr w14:paraId="0274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6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6F77F461">
            <w:pPr>
              <w:rPr>
                <w:rFonts w:hint="eastAsia" w:ascii="宋体"/>
                <w:sz w:val="24"/>
                <w:szCs w:val="24"/>
              </w:rPr>
            </w:pPr>
          </w:p>
        </w:tc>
        <w:tc>
          <w:tcPr>
            <w:tcW w:w="69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4A57D6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自然人</w:t>
            </w:r>
          </w:p>
        </w:tc>
        <w:tc>
          <w:tcPr>
            <w:tcW w:w="3436"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7A48A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法人或其他组织</w:t>
            </w:r>
          </w:p>
        </w:tc>
        <w:tc>
          <w:tcPr>
            <w:tcW w:w="695"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7ADCF8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总计</w:t>
            </w:r>
          </w:p>
        </w:tc>
      </w:tr>
      <w:tr w14:paraId="32D2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6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4FD20E0A">
            <w:pPr>
              <w:rPr>
                <w:rFonts w:hint="eastAsia" w:ascii="宋体"/>
                <w:sz w:val="24"/>
                <w:szCs w:val="24"/>
              </w:rPr>
            </w:pPr>
          </w:p>
        </w:tc>
        <w:tc>
          <w:tcPr>
            <w:tcW w:w="69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413CC67C">
            <w:pPr>
              <w:rPr>
                <w:rFonts w:hint="eastAsia" w:ascii="宋体"/>
                <w:sz w:val="24"/>
                <w:szCs w:val="24"/>
              </w:rPr>
            </w:pP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143FE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商业</w:t>
            </w:r>
          </w:p>
          <w:p w14:paraId="648770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企业</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6F6027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科研</w:t>
            </w:r>
          </w:p>
          <w:p w14:paraId="371158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机构</w:t>
            </w:r>
          </w:p>
        </w:tc>
        <w:tc>
          <w:tcPr>
            <w:tcW w:w="6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E9C14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社会公益组织</w:t>
            </w:r>
          </w:p>
        </w:tc>
        <w:tc>
          <w:tcPr>
            <w:tcW w:w="6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5548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FE893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其他</w:t>
            </w:r>
          </w:p>
        </w:tc>
        <w:tc>
          <w:tcPr>
            <w:tcW w:w="695"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595AC0B9">
            <w:pPr>
              <w:rPr>
                <w:rFonts w:hint="eastAsia" w:ascii="宋体"/>
                <w:sz w:val="24"/>
                <w:szCs w:val="24"/>
              </w:rPr>
            </w:pPr>
          </w:p>
        </w:tc>
      </w:tr>
      <w:tr w14:paraId="4ED7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6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9945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一、本年新收政府信息公开申请数量</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107EB1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3</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7F10BC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49286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6B59F8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E14B0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6</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EA9B9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6D380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3</w:t>
            </w:r>
          </w:p>
        </w:tc>
      </w:tr>
      <w:tr w14:paraId="702F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6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7FDB5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二、上年结转政府信息公开申请数量</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04EEAE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1</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21F512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69E248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4555C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6474C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CA2F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4284C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1</w:t>
            </w:r>
          </w:p>
        </w:tc>
      </w:tr>
      <w:tr w14:paraId="420A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F8312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三、本年度办理结果</w:t>
            </w:r>
          </w:p>
        </w:tc>
        <w:tc>
          <w:tcPr>
            <w:tcW w:w="3199"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47AB2B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（一）予以公开</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1BEE5B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2</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58FD1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7EE7BC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19BDA8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4477A7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ADACA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C1D0B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2</w:t>
            </w:r>
          </w:p>
        </w:tc>
      </w:tr>
      <w:tr w14:paraId="6BCCA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012B01C">
            <w:pPr>
              <w:rPr>
                <w:rFonts w:hint="eastAsia" w:ascii="宋体"/>
                <w:sz w:val="24"/>
                <w:szCs w:val="24"/>
              </w:rPr>
            </w:pPr>
          </w:p>
        </w:tc>
        <w:tc>
          <w:tcPr>
            <w:tcW w:w="3199"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2AF197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（二）部分公开（区分处理的，只计这一情形，不计其他情形）</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1DDE24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6CC45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2B1CF4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52FC46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2BFDA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51A85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A6856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6713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86C99BA">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30129C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（三）不予公开</w:t>
            </w: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0E45EE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1.属于国家秘密</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6E13DA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72EE75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6372E8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46B544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25D0F7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76F26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EC002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4084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EAFEC1C">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220B93B">
            <w:pPr>
              <w:rPr>
                <w:rFonts w:hint="eastAsia" w:ascii="宋体"/>
                <w:sz w:val="24"/>
                <w:szCs w:val="24"/>
              </w:rPr>
            </w:pP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442952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2.其他法律行政法规禁止公开</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47E8E6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41D9E0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274480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8E8A4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3F3E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C6E6A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2EE0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0AEC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CC4D427">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02C66A7">
            <w:pPr>
              <w:rPr>
                <w:rFonts w:hint="eastAsia" w:ascii="宋体"/>
                <w:sz w:val="24"/>
                <w:szCs w:val="24"/>
              </w:rPr>
            </w:pP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00DFEA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3.危及“三安全一稳定”</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30A5BF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2FAA1B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52F61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78597E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10A21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9B8D8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1EC451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489AA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680376C">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69A9784">
            <w:pPr>
              <w:rPr>
                <w:rFonts w:hint="eastAsia" w:ascii="宋体"/>
                <w:sz w:val="24"/>
                <w:szCs w:val="24"/>
              </w:rPr>
            </w:pP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2C37DC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4.保护第三方合法权益</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6D2852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4F987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9D0E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2BCCAA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76DA26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12A4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9B373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55495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187E461">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AA2B316">
            <w:pPr>
              <w:rPr>
                <w:rFonts w:hint="eastAsia" w:ascii="宋体"/>
                <w:sz w:val="24"/>
                <w:szCs w:val="24"/>
              </w:rPr>
            </w:pP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4041D8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5.属于三类内部事务信息</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5D536A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7BA9D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85FFA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6E92A8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1A8E3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5695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6A6F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127CE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03AA54B">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720F9BD">
            <w:pPr>
              <w:rPr>
                <w:rFonts w:hint="eastAsia" w:ascii="宋体"/>
                <w:sz w:val="24"/>
                <w:szCs w:val="24"/>
              </w:rPr>
            </w:pP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22EB3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6.属于四类过程性信息</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484909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77AA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49D22F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564044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607806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1386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78AE9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0407B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A23D9FA">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9F927CC">
            <w:pPr>
              <w:rPr>
                <w:rFonts w:hint="eastAsia" w:ascii="宋体"/>
                <w:sz w:val="24"/>
                <w:szCs w:val="24"/>
              </w:rPr>
            </w:pP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0CAEBF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7.属于行政执法案卷</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695075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52920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8ACB8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797F89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67E5E3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A73B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7296C3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2AC1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C0C29E1">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4F4A350">
            <w:pPr>
              <w:rPr>
                <w:rFonts w:hint="eastAsia" w:ascii="宋体"/>
                <w:sz w:val="24"/>
                <w:szCs w:val="24"/>
              </w:rPr>
            </w:pP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01CD32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8.属于行政查询事项</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339540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63AE45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6089C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42D32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7DE27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C65AA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A3656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2964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A6AF9ED">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713BFF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（四）无法提供</w:t>
            </w: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0263DF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1.本机关不掌握相关政府信息</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27EF60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5</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1051A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231F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20E90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E21A7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A95D5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AD55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5</w:t>
            </w:r>
          </w:p>
        </w:tc>
      </w:tr>
      <w:tr w14:paraId="4C82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434EA9A">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ED91296">
            <w:pPr>
              <w:rPr>
                <w:rFonts w:hint="eastAsia" w:ascii="宋体"/>
                <w:sz w:val="24"/>
                <w:szCs w:val="24"/>
              </w:rPr>
            </w:pP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5D2EAA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2.没有现成信息需要另行制作</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482BD2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8E1A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77A4CF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2A707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1BB682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99C9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723CEB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0F3D9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E5B1344">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182E237">
            <w:pPr>
              <w:rPr>
                <w:rFonts w:hint="eastAsia" w:ascii="宋体"/>
                <w:sz w:val="24"/>
                <w:szCs w:val="24"/>
              </w:rPr>
            </w:pP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720FE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3.补正后申请内容仍不明确</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560D68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51F9E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5B3265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67CAC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E8EEE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00785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D4209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44A9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46C0ACC">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5993E7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（五）不予处理</w:t>
            </w: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766618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1.信访举报投诉类申请</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1ACABB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6E3B7B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165BFE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58C230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251FD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C1C7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A3820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0</w:t>
            </w:r>
          </w:p>
        </w:tc>
      </w:tr>
      <w:tr w14:paraId="0EE43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9EAD339">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5609018">
            <w:pPr>
              <w:rPr>
                <w:rFonts w:hint="eastAsia" w:ascii="宋体"/>
                <w:sz w:val="24"/>
                <w:szCs w:val="24"/>
              </w:rPr>
            </w:pP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33C138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2.重复申请</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40AD58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1</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2E90F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429590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DF00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43CA8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9E25B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01AE16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1</w:t>
            </w:r>
          </w:p>
        </w:tc>
      </w:tr>
      <w:tr w14:paraId="4F15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6D3ABEF">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6E56BA1">
            <w:pPr>
              <w:rPr>
                <w:rFonts w:hint="eastAsia" w:ascii="宋体"/>
                <w:sz w:val="24"/>
                <w:szCs w:val="24"/>
              </w:rPr>
            </w:pP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363CF3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3.要求提供公开出版物</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1D9D0A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4044A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7BD6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24DD3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CFB3C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2A28D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AA365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49D6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ED01A1B">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8EC035A">
            <w:pPr>
              <w:rPr>
                <w:rFonts w:hint="eastAsia" w:ascii="宋体"/>
                <w:sz w:val="24"/>
                <w:szCs w:val="24"/>
              </w:rPr>
            </w:pPr>
          </w:p>
        </w:tc>
        <w:tc>
          <w:tcPr>
            <w:tcW w:w="2256" w:type="dxa"/>
            <w:tcBorders>
              <w:top w:val="nil"/>
              <w:left w:val="nil"/>
              <w:bottom w:val="single" w:color="auto" w:sz="8" w:space="0"/>
              <w:right w:val="single" w:color="auto" w:sz="8" w:space="0"/>
            </w:tcBorders>
            <w:shd w:val="clear" w:color="auto" w:fill="auto"/>
            <w:tcMar>
              <w:left w:w="57" w:type="dxa"/>
              <w:right w:w="57" w:type="dxa"/>
            </w:tcMar>
            <w:vAlign w:val="top"/>
          </w:tcPr>
          <w:p w14:paraId="2A889D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4.无正当理由大量反复申请</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4CE724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5224F8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941D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5EC2D9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FF89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0324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D9900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5D23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6F39CEB">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7727F62">
            <w:pPr>
              <w:rPr>
                <w:rFonts w:hint="eastAsia" w:ascii="宋体"/>
                <w:sz w:val="24"/>
                <w:szCs w:val="24"/>
              </w:rPr>
            </w:pPr>
          </w:p>
        </w:tc>
        <w:tc>
          <w:tcPr>
            <w:tcW w:w="2256" w:type="dxa"/>
            <w:tcBorders>
              <w:top w:val="nil"/>
              <w:left w:val="nil"/>
              <w:bottom w:val="outset" w:color="auto" w:sz="8" w:space="0"/>
              <w:right w:val="single" w:color="auto" w:sz="8" w:space="0"/>
            </w:tcBorders>
            <w:shd w:val="clear" w:color="auto" w:fill="auto"/>
            <w:tcMar>
              <w:left w:w="57" w:type="dxa"/>
              <w:right w:w="57" w:type="dxa"/>
            </w:tcMar>
            <w:vAlign w:val="center"/>
          </w:tcPr>
          <w:p w14:paraId="30A224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5.要求行政机关确认或重新出具已获取信息</w:t>
            </w:r>
          </w:p>
        </w:tc>
        <w:tc>
          <w:tcPr>
            <w:tcW w:w="694" w:type="dxa"/>
            <w:tcBorders>
              <w:top w:val="nil"/>
              <w:left w:val="nil"/>
              <w:bottom w:val="outset" w:color="auto" w:sz="8" w:space="0"/>
              <w:right w:val="single" w:color="auto" w:sz="8" w:space="0"/>
            </w:tcBorders>
            <w:shd w:val="clear" w:color="auto" w:fill="auto"/>
            <w:tcMar>
              <w:left w:w="57" w:type="dxa"/>
              <w:right w:w="57" w:type="dxa"/>
            </w:tcMar>
            <w:vAlign w:val="center"/>
          </w:tcPr>
          <w:p w14:paraId="5592CC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outset" w:color="auto" w:sz="8" w:space="0"/>
              <w:right w:val="single" w:color="auto" w:sz="8" w:space="0"/>
            </w:tcBorders>
            <w:shd w:val="clear" w:color="auto" w:fill="auto"/>
            <w:tcMar>
              <w:left w:w="57" w:type="dxa"/>
              <w:right w:w="57" w:type="dxa"/>
            </w:tcMar>
            <w:vAlign w:val="center"/>
          </w:tcPr>
          <w:p w14:paraId="321960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outset" w:color="auto" w:sz="8" w:space="0"/>
              <w:right w:val="single" w:color="auto" w:sz="8" w:space="0"/>
            </w:tcBorders>
            <w:shd w:val="clear" w:color="auto" w:fill="auto"/>
            <w:tcMar>
              <w:left w:w="57" w:type="dxa"/>
              <w:right w:w="57" w:type="dxa"/>
            </w:tcMar>
            <w:vAlign w:val="center"/>
          </w:tcPr>
          <w:p w14:paraId="6B745E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outset" w:color="auto" w:sz="8" w:space="0"/>
              <w:right w:val="single" w:color="auto" w:sz="8" w:space="0"/>
            </w:tcBorders>
            <w:shd w:val="clear" w:color="auto" w:fill="auto"/>
            <w:tcMar>
              <w:left w:w="57" w:type="dxa"/>
              <w:right w:w="57" w:type="dxa"/>
            </w:tcMar>
            <w:vAlign w:val="center"/>
          </w:tcPr>
          <w:p w14:paraId="394A34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outset" w:color="auto" w:sz="8" w:space="0"/>
              <w:right w:val="single" w:color="auto" w:sz="8" w:space="0"/>
            </w:tcBorders>
            <w:shd w:val="clear" w:color="auto" w:fill="auto"/>
            <w:tcMar>
              <w:left w:w="57" w:type="dxa"/>
              <w:right w:w="57" w:type="dxa"/>
            </w:tcMar>
            <w:vAlign w:val="center"/>
          </w:tcPr>
          <w:p w14:paraId="2E473A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77EFE9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outset" w:color="auto" w:sz="8" w:space="0"/>
              <w:right w:val="single" w:color="auto" w:sz="8" w:space="0"/>
            </w:tcBorders>
            <w:shd w:val="clear" w:color="auto" w:fill="auto"/>
            <w:tcMar>
              <w:left w:w="57" w:type="dxa"/>
              <w:right w:w="57" w:type="dxa"/>
            </w:tcMar>
            <w:vAlign w:val="center"/>
          </w:tcPr>
          <w:p w14:paraId="10F0D6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6144C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8CA5791">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2337E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（六）其他处理</w:t>
            </w:r>
          </w:p>
        </w:tc>
        <w:tc>
          <w:tcPr>
            <w:tcW w:w="2256" w:type="dxa"/>
            <w:tcBorders>
              <w:top w:val="nil"/>
              <w:left w:val="nil"/>
              <w:bottom w:val="single" w:color="auto" w:sz="8" w:space="0"/>
              <w:right w:val="single" w:color="auto" w:sz="8" w:space="0"/>
            </w:tcBorders>
            <w:shd w:val="clear" w:color="auto" w:fill="auto"/>
            <w:tcMar>
              <w:left w:w="57" w:type="dxa"/>
              <w:right w:w="57" w:type="dxa"/>
            </w:tcMar>
            <w:vAlign w:val="center"/>
          </w:tcPr>
          <w:p w14:paraId="43AEC9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1.申请人无正当理由逾期不补正、行政机关不再处理其政府信息公开申请</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309B1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7B85F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63BB22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20036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59F138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5F0F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4EDFFB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6271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870A53B">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B72825F">
            <w:pPr>
              <w:rPr>
                <w:rFonts w:hint="eastAsia" w:ascii="宋体"/>
                <w:sz w:val="24"/>
                <w:szCs w:val="24"/>
              </w:rPr>
            </w:pPr>
          </w:p>
        </w:tc>
        <w:tc>
          <w:tcPr>
            <w:tcW w:w="2256" w:type="dxa"/>
            <w:tcBorders>
              <w:top w:val="nil"/>
              <w:left w:val="nil"/>
              <w:bottom w:val="single" w:color="auto" w:sz="8" w:space="0"/>
              <w:right w:val="single" w:color="auto" w:sz="8" w:space="0"/>
            </w:tcBorders>
            <w:shd w:val="clear" w:color="auto" w:fill="auto"/>
            <w:tcMar>
              <w:left w:w="57" w:type="dxa"/>
              <w:right w:w="57" w:type="dxa"/>
            </w:tcMar>
            <w:vAlign w:val="center"/>
          </w:tcPr>
          <w:p w14:paraId="732E8A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2.申请人逾期未按收费通知要求缴纳费用、行政机关不再处理其政府信息公开申请</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00883A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46456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2C9357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65CD64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181B19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39B4E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09A3D2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r>
      <w:tr w14:paraId="18F2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13C5112">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E61D722">
            <w:pPr>
              <w:rPr>
                <w:rFonts w:hint="eastAsia" w:ascii="宋体"/>
                <w:sz w:val="24"/>
                <w:szCs w:val="24"/>
              </w:rPr>
            </w:pPr>
          </w:p>
        </w:tc>
        <w:tc>
          <w:tcPr>
            <w:tcW w:w="2256" w:type="dxa"/>
            <w:tcBorders>
              <w:top w:val="nil"/>
              <w:left w:val="nil"/>
              <w:bottom w:val="single" w:color="auto" w:sz="8" w:space="0"/>
              <w:right w:val="single" w:color="auto" w:sz="8" w:space="0"/>
            </w:tcBorders>
            <w:shd w:val="clear" w:color="auto" w:fill="auto"/>
            <w:tcMar>
              <w:left w:w="57" w:type="dxa"/>
              <w:right w:w="57" w:type="dxa"/>
            </w:tcMar>
            <w:vAlign w:val="center"/>
          </w:tcPr>
          <w:p w14:paraId="2C03D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3.其他</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778AB9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01B623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48DA84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425D70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1CB19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996D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05EB6A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0</w:t>
            </w:r>
          </w:p>
        </w:tc>
      </w:tr>
      <w:tr w14:paraId="25F7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0C2AA53">
            <w:pPr>
              <w:rPr>
                <w:rFonts w:hint="eastAsia" w:ascii="宋体"/>
                <w:sz w:val="24"/>
                <w:szCs w:val="24"/>
              </w:rPr>
            </w:pPr>
          </w:p>
        </w:tc>
        <w:tc>
          <w:tcPr>
            <w:tcW w:w="3199"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42013A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（七）总计</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19CAE4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eastAsiaTheme="minorEastAsia"/>
                <w:lang w:val="en-US" w:eastAsia="zh-CN"/>
              </w:rPr>
            </w:pPr>
            <w:r>
              <w:rPr>
                <w:rFonts w:hint="eastAsia"/>
                <w:lang w:val="en-US" w:eastAsia="zh-CN"/>
              </w:rPr>
              <w:t>3</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51B176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42E4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105A6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FF2CF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48FE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3DDA0A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eastAsiaTheme="minorEastAsia"/>
                <w:lang w:val="en-US" w:eastAsia="zh-CN"/>
              </w:rPr>
            </w:pPr>
            <w:r>
              <w:rPr>
                <w:rFonts w:hint="eastAsia"/>
                <w:lang w:val="en-US" w:eastAsia="zh-CN"/>
              </w:rPr>
              <w:t>3</w:t>
            </w:r>
          </w:p>
        </w:tc>
      </w:tr>
      <w:tr w14:paraId="40FB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6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1DB80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spacing w:val="0"/>
                <w:kern w:val="0"/>
                <w:sz w:val="20"/>
                <w:szCs w:val="20"/>
                <w:lang w:val="en-US" w:eastAsia="zh-CN" w:bidi="ar"/>
              </w:rPr>
              <w:t>四、结转下年度继续办理</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14:paraId="248CF4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eastAsiaTheme="minorEastAsia"/>
                <w:lang w:val="en-US" w:eastAsia="zh-CN"/>
              </w:rPr>
            </w:pPr>
            <w:r>
              <w:rPr>
                <w:rFonts w:hint="eastAsia"/>
                <w:lang w:val="en-US" w:eastAsia="zh-CN"/>
              </w:rPr>
              <w:t>1</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7D75EA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677BB9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109BA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14:paraId="3709A0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5DE2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spacing w:val="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3D550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eastAsiaTheme="minorEastAsia"/>
                <w:lang w:val="en-US" w:eastAsia="zh-CN"/>
              </w:rPr>
            </w:pPr>
            <w:r>
              <w:rPr>
                <w:rFonts w:hint="eastAsia"/>
                <w:lang w:val="en-US" w:eastAsia="zh-CN"/>
              </w:rPr>
              <w:t>1</w:t>
            </w:r>
          </w:p>
        </w:tc>
      </w:tr>
    </w:tbl>
    <w:p w14:paraId="0E65B4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宋体" w:hAnsi="宋体" w:eastAsia="宋体" w:cs="宋体"/>
          <w:i w:val="0"/>
          <w:iCs w:val="0"/>
          <w:caps w:val="0"/>
          <w:color w:val="666666"/>
          <w:spacing w:val="0"/>
          <w:kern w:val="0"/>
          <w:sz w:val="20"/>
          <w:szCs w:val="20"/>
          <w:shd w:val="clear" w:fill="FFFFFF"/>
          <w:lang w:val="en-US" w:eastAsia="zh-CN" w:bidi="ar"/>
        </w:rPr>
        <w:t> </w:t>
      </w:r>
    </w:p>
    <w:p w14:paraId="3DD7B8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w:t>
      </w:r>
      <w:r>
        <w:rPr>
          <w:rFonts w:hint="eastAsia" w:ascii="黑体" w:hAnsi="黑体" w:eastAsia="黑体" w:cs="黑体"/>
          <w:i w:val="0"/>
          <w:iCs w:val="0"/>
          <w:caps w:val="0"/>
          <w:color w:val="666666"/>
          <w:spacing w:val="0"/>
          <w:kern w:val="0"/>
          <w:sz w:val="32"/>
          <w:szCs w:val="32"/>
          <w:shd w:val="clear" w:fill="FFFFFF"/>
          <w:lang w:val="en-US" w:eastAsia="zh-CN" w:bidi="ar"/>
        </w:rPr>
        <w:t xml:space="preserve"> 四、政府信息公开行政复议、行政诉讼情况</w:t>
      </w:r>
    </w:p>
    <w:p w14:paraId="02DD6B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宋体" w:hAnsi="宋体" w:eastAsia="宋体" w:cs="宋体"/>
          <w:i w:val="0"/>
          <w:iCs w:val="0"/>
          <w:caps w:val="0"/>
          <w:color w:val="666666"/>
          <w:spacing w:val="0"/>
          <w:kern w:val="0"/>
          <w:sz w:val="20"/>
          <w:szCs w:val="20"/>
          <w:shd w:val="clear" w:fill="FFFFFF"/>
          <w:lang w:val="en-US" w:eastAsia="zh-CN" w:bidi="ar"/>
        </w:rPr>
        <w:t> </w:t>
      </w:r>
    </w:p>
    <w:tbl>
      <w:tblPr>
        <w:tblStyle w:val="3"/>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67DE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5D7D7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A409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行政诉讼</w:t>
            </w:r>
          </w:p>
        </w:tc>
      </w:tr>
      <w:tr w14:paraId="529E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A365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B02AD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结果</w:t>
            </w:r>
          </w:p>
          <w:p w14:paraId="49622B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33B15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其他</w:t>
            </w:r>
          </w:p>
          <w:p w14:paraId="4D846C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1EE4B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尚未</w:t>
            </w:r>
          </w:p>
          <w:p w14:paraId="23F317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3D91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8E254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6FA5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复议后起诉</w:t>
            </w:r>
          </w:p>
        </w:tc>
      </w:tr>
      <w:tr w14:paraId="4A59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F24470">
            <w:pPr>
              <w:rPr>
                <w:rFonts w:hint="eastAsia" w:ascii="宋体"/>
                <w:sz w:val="24"/>
                <w:szCs w:val="24"/>
              </w:rPr>
            </w:pPr>
          </w:p>
        </w:tc>
        <w:tc>
          <w:tcPr>
            <w:tcW w:w="64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EB6530D">
            <w:pPr>
              <w:rPr>
                <w:rFonts w:hint="eastAsia" w:ascii="宋体"/>
                <w:sz w:val="24"/>
                <w:szCs w:val="24"/>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EF96AE">
            <w:pPr>
              <w:rPr>
                <w:rFonts w:hint="eastAsia" w:ascii="宋体"/>
                <w:sz w:val="24"/>
                <w:szCs w:val="24"/>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601546">
            <w:pPr>
              <w:rPr>
                <w:rFonts w:hint="eastAsia" w:ascii="宋体"/>
                <w:sz w:val="24"/>
                <w:szCs w:val="24"/>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95BEE35">
            <w:pPr>
              <w:rPr>
                <w:rFonts w:hint="eastAsia" w:ascii="宋体"/>
                <w:sz w:val="24"/>
                <w:szCs w:val="24"/>
              </w:rPr>
            </w:pP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14:paraId="46B2F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结果</w:t>
            </w:r>
          </w:p>
          <w:p w14:paraId="31553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维持</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14:paraId="5847AD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结果</w:t>
            </w:r>
          </w:p>
          <w:p w14:paraId="611D48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纠正</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B8FB2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其他</w:t>
            </w:r>
          </w:p>
          <w:p w14:paraId="1ACB95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结果</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9E35D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尚未</w:t>
            </w:r>
          </w:p>
          <w:p w14:paraId="73435E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审结</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15AF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总计</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307E0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结果</w:t>
            </w:r>
          </w:p>
          <w:p w14:paraId="72B691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维持</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87625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结果</w:t>
            </w:r>
          </w:p>
          <w:p w14:paraId="46123D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纠正</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3301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其他</w:t>
            </w:r>
          </w:p>
          <w:p w14:paraId="44B7BC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结果</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D938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尚未</w:t>
            </w:r>
          </w:p>
          <w:p w14:paraId="4C0404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审结</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A7190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总计</w:t>
            </w:r>
          </w:p>
        </w:tc>
      </w:tr>
      <w:tr w14:paraId="0CD2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7A6C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eastAsiaTheme="minorEastAsia"/>
                <w:lang w:val="en-US" w:eastAsia="zh-CN"/>
              </w:rPr>
            </w:pPr>
            <w:r>
              <w:rPr>
                <w:rFonts w:hint="eastAsia"/>
                <w:lang w:val="en-US" w:eastAsia="zh-CN"/>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14:paraId="79BDC2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14:paraId="0DCBDD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14:paraId="76F1E9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14:paraId="5DDEC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eastAsiaTheme="minorEastAsia"/>
                <w:lang w:val="en-US" w:eastAsia="zh-CN"/>
              </w:rPr>
            </w:pPr>
            <w:r>
              <w:rPr>
                <w:rFonts w:hint="eastAsia"/>
                <w:lang w:val="en-US" w:eastAsia="zh-CN"/>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14:paraId="2026B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lang w:val="en-US"/>
              </w:rPr>
            </w:pPr>
            <w:r>
              <w:rPr>
                <w:rFonts w:hint="eastAsia" w:ascii="宋体" w:hAnsi="宋体" w:eastAsia="宋体" w:cs="宋体"/>
                <w:kern w:val="0"/>
                <w:sz w:val="20"/>
                <w:szCs w:val="20"/>
                <w:lang w:val="en-US" w:eastAsia="zh-CN" w:bidi="ar"/>
              </w:rPr>
              <w:t>2</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14:paraId="77309B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14:paraId="56AF53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14:paraId="0E7A5C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14:paraId="759683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2</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14:paraId="3B63C1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14:paraId="3E60C7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14:paraId="0E8BFB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14:paraId="5502EA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14:paraId="3C8092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0"/>
                <w:szCs w:val="20"/>
                <w:lang w:val="en-US" w:eastAsia="zh-CN" w:bidi="ar"/>
              </w:rPr>
              <w:t>0</w:t>
            </w:r>
          </w:p>
        </w:tc>
      </w:tr>
    </w:tbl>
    <w:p w14:paraId="4F8793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 </w:t>
      </w:r>
    </w:p>
    <w:p w14:paraId="7ECF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 xml:space="preserve">      </w:t>
      </w:r>
      <w:r>
        <w:rPr>
          <w:rFonts w:hint="eastAsia" w:ascii="黑体" w:hAnsi="黑体" w:eastAsia="黑体" w:cs="黑体"/>
          <w:i w:val="0"/>
          <w:iCs w:val="0"/>
          <w:caps w:val="0"/>
          <w:color w:val="666666"/>
          <w:spacing w:val="0"/>
          <w:kern w:val="0"/>
          <w:sz w:val="32"/>
          <w:szCs w:val="32"/>
          <w:shd w:val="clear" w:fill="FFFFFF"/>
          <w:lang w:val="en-US" w:eastAsia="zh-CN" w:bidi="ar"/>
        </w:rPr>
        <w:t>五、存在的主要问题及改进情况</w:t>
      </w:r>
    </w:p>
    <w:p w14:paraId="4CA99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     </w:t>
      </w:r>
      <w:r>
        <w:rPr>
          <w:rFonts w:hint="eastAsia" w:ascii="仿宋" w:hAnsi="仿宋" w:eastAsia="仿宋" w:cs="仿宋"/>
          <w:i w:val="0"/>
          <w:iCs w:val="0"/>
          <w:caps w:val="0"/>
          <w:color w:val="666666"/>
          <w:spacing w:val="0"/>
          <w:sz w:val="32"/>
          <w:szCs w:val="32"/>
          <w:shd w:val="clear" w:fill="FFFFFF"/>
        </w:rPr>
        <w:t xml:space="preserve"> 202</w:t>
      </w:r>
      <w:r>
        <w:rPr>
          <w:rFonts w:hint="eastAsia" w:ascii="仿宋" w:hAnsi="仿宋" w:eastAsia="仿宋" w:cs="仿宋"/>
          <w:i w:val="0"/>
          <w:iCs w:val="0"/>
          <w:caps w:val="0"/>
          <w:color w:val="666666"/>
          <w:spacing w:val="0"/>
          <w:sz w:val="32"/>
          <w:szCs w:val="32"/>
          <w:shd w:val="clear" w:fill="FFFFFF"/>
          <w:lang w:val="en-US" w:eastAsia="zh-CN"/>
        </w:rPr>
        <w:t>4</w:t>
      </w:r>
      <w:r>
        <w:rPr>
          <w:rFonts w:hint="eastAsia" w:ascii="仿宋" w:hAnsi="仿宋" w:eastAsia="仿宋" w:cs="仿宋"/>
          <w:i w:val="0"/>
          <w:iCs w:val="0"/>
          <w:caps w:val="0"/>
          <w:color w:val="666666"/>
          <w:spacing w:val="0"/>
          <w:sz w:val="32"/>
          <w:szCs w:val="32"/>
          <w:shd w:val="clear" w:fill="FFFFFF"/>
        </w:rPr>
        <w:t>年，白沟新城管委会办公室政府信息公开工作取得一定成效，但对照政务公开新要求，仍存在一些不足，主要表现在：公开深度广度需进一步增强，解读方式需进一步丰富，公开平台建设管理需进一步完善。</w:t>
      </w:r>
    </w:p>
    <w:p w14:paraId="6FFF46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 xml:space="preserve">      </w:t>
      </w:r>
      <w:r>
        <w:rPr>
          <w:rFonts w:hint="eastAsia" w:ascii="仿宋" w:hAnsi="仿宋" w:eastAsia="仿宋" w:cs="仿宋"/>
          <w:i w:val="0"/>
          <w:iCs w:val="0"/>
          <w:caps w:val="0"/>
          <w:color w:val="666666"/>
          <w:spacing w:val="0"/>
          <w:sz w:val="32"/>
          <w:szCs w:val="32"/>
          <w:shd w:val="clear" w:fill="FFFFFF"/>
        </w:rPr>
        <w:t>202</w:t>
      </w:r>
      <w:r>
        <w:rPr>
          <w:rFonts w:hint="eastAsia" w:ascii="仿宋" w:hAnsi="仿宋" w:eastAsia="仿宋" w:cs="仿宋"/>
          <w:i w:val="0"/>
          <w:iCs w:val="0"/>
          <w:caps w:val="0"/>
          <w:color w:val="666666"/>
          <w:spacing w:val="0"/>
          <w:sz w:val="32"/>
          <w:szCs w:val="32"/>
          <w:shd w:val="clear" w:fill="FFFFFF"/>
          <w:lang w:val="en-US" w:eastAsia="zh-CN"/>
        </w:rPr>
        <w:t>5</w:t>
      </w:r>
      <w:r>
        <w:rPr>
          <w:rFonts w:hint="eastAsia" w:ascii="仿宋" w:hAnsi="仿宋" w:eastAsia="仿宋" w:cs="仿宋"/>
          <w:i w:val="0"/>
          <w:iCs w:val="0"/>
          <w:caps w:val="0"/>
          <w:color w:val="666666"/>
          <w:spacing w:val="0"/>
          <w:sz w:val="32"/>
          <w:szCs w:val="32"/>
          <w:shd w:val="clear" w:fill="FFFFFF"/>
        </w:rPr>
        <w:t>年，将进一步加大政务公开工作力度，聚焦问题、精准发力，围绕国家、省、市重大改革、重要举措、重点项目等中心工作，强化重大政策宣传解读，提升公开平台建设管理水平。</w:t>
      </w:r>
    </w:p>
    <w:p w14:paraId="3826EB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黑体" w:hAnsi="黑体" w:eastAsia="黑体" w:cs="黑体"/>
          <w:i w:val="0"/>
          <w:iCs w:val="0"/>
          <w:caps w:val="0"/>
          <w:color w:val="666666"/>
          <w:spacing w:val="0"/>
          <w:kern w:val="0"/>
          <w:sz w:val="32"/>
          <w:szCs w:val="32"/>
          <w:shd w:val="clear" w:fill="FFFFFF"/>
          <w:lang w:val="en-US" w:eastAsia="zh-CN" w:bidi="ar"/>
        </w:rPr>
      </w:pPr>
      <w:r>
        <w:rPr>
          <w:rFonts w:hint="eastAsia" w:ascii="微软雅黑" w:hAnsi="微软雅黑" w:eastAsia="微软雅黑" w:cs="微软雅黑"/>
          <w:i w:val="0"/>
          <w:iCs w:val="0"/>
          <w:caps w:val="0"/>
          <w:color w:val="666666"/>
          <w:spacing w:val="0"/>
          <w:sz w:val="24"/>
          <w:szCs w:val="24"/>
          <w:shd w:val="clear" w:fill="FFFFFF"/>
        </w:rPr>
        <w:t>   </w:t>
      </w:r>
      <w:r>
        <w:rPr>
          <w:rFonts w:hint="eastAsia" w:ascii="黑体" w:hAnsi="黑体" w:eastAsia="黑体" w:cs="黑体"/>
          <w:i w:val="0"/>
          <w:iCs w:val="0"/>
          <w:caps w:val="0"/>
          <w:color w:val="666666"/>
          <w:spacing w:val="0"/>
          <w:kern w:val="0"/>
          <w:sz w:val="32"/>
          <w:szCs w:val="32"/>
          <w:shd w:val="clear" w:fill="FFFFFF"/>
          <w:lang w:val="en-US" w:eastAsia="zh-CN" w:bidi="ar"/>
        </w:rPr>
        <w:t xml:space="preserve">   六、其他需要报告的事项</w:t>
      </w:r>
    </w:p>
    <w:p w14:paraId="055B7C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w:t>
      </w:r>
      <w:r>
        <w:rPr>
          <w:rFonts w:hint="eastAsia" w:ascii="仿宋" w:hAnsi="仿宋" w:eastAsia="仿宋" w:cs="仿宋"/>
          <w:i w:val="0"/>
          <w:iCs w:val="0"/>
          <w:caps w:val="0"/>
          <w:color w:val="666666"/>
          <w:spacing w:val="0"/>
          <w:kern w:val="0"/>
          <w:sz w:val="32"/>
          <w:szCs w:val="32"/>
          <w:shd w:val="clear" w:fill="FFFFFF"/>
          <w:lang w:val="en-US" w:eastAsia="zh-CN" w:bidi="ar"/>
        </w:rPr>
        <w:t>认真贯彻执行国务院办公厅《政府信息公开信息处理费管理办法》和《关于政府信息公开处理费管理有关事项的通知》。2024年全县各级政府和部门均未收取信息处理费。</w:t>
      </w:r>
    </w:p>
    <w:p w14:paraId="0EE311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YTBlNDBiNmZlOTJlOWRmMGUxNTc4YWIwMGMyMjMifQ=="/>
  </w:docVars>
  <w:rsids>
    <w:rsidRoot w:val="00000000"/>
    <w:rsid w:val="069A210C"/>
    <w:rsid w:val="0DAA1120"/>
    <w:rsid w:val="13477178"/>
    <w:rsid w:val="13737F6D"/>
    <w:rsid w:val="19267807"/>
    <w:rsid w:val="19A751A7"/>
    <w:rsid w:val="318917A9"/>
    <w:rsid w:val="447A00BE"/>
    <w:rsid w:val="51DC2BA6"/>
    <w:rsid w:val="61363955"/>
    <w:rsid w:val="6999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1314</Words>
  <Characters>1343</Characters>
  <Lines>0</Lines>
  <Paragraphs>0</Paragraphs>
  <TotalTime>9</TotalTime>
  <ScaleCrop>false</ScaleCrop>
  <LinksUpToDate>false</LinksUpToDate>
  <CharactersWithSpaces>1412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2024-01-26T09:26:00Z</dcterms:created>
  <dc:creator>Administrator</dc:creator>
  <cp:lastModifiedBy>A✨木子李 </cp:lastModifiedBy>
  <dcterms:modified xsi:type="dcterms:W3CDTF">2025-02-20T00:43:07Z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C82E71D476A7460987A7ADDBB5693C84_12</vt:lpwstr>
  </property>
  <property fmtid="{D5CDD505-2E9C-101B-9397-08002B2CF9AE}" pid="4" name="KSOTemplateDocerSaveRecord">
    <vt:lpwstr>eyJoZGlkIjoiZTg2YTBlNDBiNmZlOTJlOWRmMGUxNTc4YWIwMGMyMjMiLCJ1c2VySWQiOiIyMzgwNDg0MDMifQ==</vt:lpwstr>
  </property>
</Properties>
</file>