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87A85">
      <w:pPr>
        <w:pStyle w:val="4"/>
        <w:keepNext w:val="0"/>
        <w:keepLines w:val="0"/>
        <w:pageBreakBefore w:val="0"/>
        <w:widowControl/>
        <w:shd w:val="clear" w:color="auto" w:fill="FFFFFF"/>
        <w:kinsoku/>
        <w:wordWrap/>
        <w:overflowPunct/>
        <w:topLinePunct w:val="0"/>
        <w:autoSpaceDE/>
        <w:autoSpaceDN/>
        <w:bidi w:val="0"/>
        <w:spacing w:beforeAutospacing="0" w:afterAutospacing="0" w:line="620" w:lineRule="exact"/>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shd w:val="clear" w:color="auto" w:fill="FFFFFF"/>
          <w:lang w:val="en-US" w:eastAsia="zh-CN"/>
        </w:rPr>
        <w:t>白沟新城党群工作部（</w:t>
      </w:r>
      <w:r>
        <w:rPr>
          <w:rFonts w:hint="eastAsia" w:ascii="宋体" w:hAnsi="宋体" w:eastAsia="宋体" w:cs="宋体"/>
          <w:b/>
          <w:bCs w:val="0"/>
          <w:sz w:val="44"/>
          <w:szCs w:val="44"/>
          <w:shd w:val="clear" w:color="auto" w:fill="FFFFFF"/>
        </w:rPr>
        <w:t>人力资源和社会保障局</w:t>
      </w:r>
      <w:r>
        <w:rPr>
          <w:rFonts w:hint="eastAsia" w:ascii="宋体" w:hAnsi="宋体" w:eastAsia="宋体" w:cs="宋体"/>
          <w:b/>
          <w:bCs w:val="0"/>
          <w:sz w:val="44"/>
          <w:szCs w:val="44"/>
          <w:shd w:val="clear" w:color="auto" w:fill="FFFFFF"/>
          <w:lang w:eastAsia="zh-CN"/>
        </w:rPr>
        <w:t>）</w:t>
      </w:r>
    </w:p>
    <w:p w14:paraId="46A96985">
      <w:pPr>
        <w:pStyle w:val="4"/>
        <w:keepNext w:val="0"/>
        <w:keepLines w:val="0"/>
        <w:pageBreakBefore w:val="0"/>
        <w:widowControl/>
        <w:shd w:val="clear" w:color="auto" w:fill="FFFFFF"/>
        <w:kinsoku/>
        <w:wordWrap/>
        <w:overflowPunct/>
        <w:topLinePunct w:val="0"/>
        <w:autoSpaceDE/>
        <w:autoSpaceDN/>
        <w:bidi w:val="0"/>
        <w:spacing w:beforeAutospacing="0" w:afterAutospacing="0" w:line="62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eastAsia="宋体" w:cs="宋体"/>
          <w:b/>
          <w:bCs w:val="0"/>
          <w:sz w:val="44"/>
          <w:szCs w:val="44"/>
          <w:lang w:val="en-US" w:eastAsia="zh-CN"/>
        </w:rPr>
        <w:t>4</w:t>
      </w:r>
      <w:r>
        <w:rPr>
          <w:rFonts w:hint="eastAsia" w:ascii="宋体" w:hAnsi="宋体" w:eastAsia="宋体" w:cs="宋体"/>
          <w:b/>
          <w:bCs w:val="0"/>
          <w:sz w:val="44"/>
          <w:szCs w:val="44"/>
        </w:rPr>
        <w:t>年政府信息公开工作年度报告</w:t>
      </w:r>
    </w:p>
    <w:p w14:paraId="0D0769C0">
      <w:pPr>
        <w:pStyle w:val="4"/>
        <w:keepNext w:val="0"/>
        <w:keepLines w:val="0"/>
        <w:pageBreakBefore w:val="0"/>
        <w:widowControl/>
        <w:shd w:val="clear" w:color="auto" w:fill="FFFFFF"/>
        <w:kinsoku/>
        <w:wordWrap/>
        <w:overflowPunct/>
        <w:topLinePunct w:val="0"/>
        <w:autoSpaceDE/>
        <w:autoSpaceDN/>
        <w:bidi w:val="0"/>
        <w:spacing w:beforeAutospacing="0" w:afterAutospacing="0" w:line="620" w:lineRule="exact"/>
        <w:ind w:firstLine="420"/>
        <w:jc w:val="both"/>
        <w:textAlignment w:val="auto"/>
        <w:rPr>
          <w:rFonts w:ascii="宋体" w:hAnsi="宋体" w:eastAsia="宋体" w:cs="宋体"/>
          <w:b/>
          <w:bCs/>
          <w:shd w:val="clear" w:color="auto" w:fill="FFFFFF"/>
        </w:rPr>
      </w:pPr>
    </w:p>
    <w:p w14:paraId="1566E212">
      <w:pPr>
        <w:pStyle w:val="4"/>
        <w:keepNext w:val="0"/>
        <w:keepLines w:val="0"/>
        <w:pageBreakBefore w:val="0"/>
        <w:widowControl/>
        <w:shd w:val="clear" w:color="auto" w:fill="FFFFFF"/>
        <w:kinsoku/>
        <w:wordWrap/>
        <w:overflowPunct/>
        <w:topLinePunct w:val="0"/>
        <w:autoSpaceDE/>
        <w:autoSpaceDN/>
        <w:bidi w:val="0"/>
        <w:spacing w:beforeAutospacing="0" w:afterAutospacing="0" w:line="620" w:lineRule="exact"/>
        <w:ind w:left="0" w:leftChars="0" w:firstLine="640" w:firstLineChars="200"/>
        <w:jc w:val="both"/>
        <w:textAlignment w:val="auto"/>
        <w:rPr>
          <w:rFonts w:ascii="黑体" w:hAnsi="黑体" w:eastAsia="黑体" w:cs="宋体"/>
          <w:bCs/>
          <w:sz w:val="32"/>
          <w:szCs w:val="32"/>
          <w:shd w:val="clear" w:color="auto" w:fill="FFFFFF"/>
        </w:rPr>
      </w:pPr>
      <w:r>
        <w:rPr>
          <w:rFonts w:hint="eastAsia" w:ascii="黑体" w:hAnsi="黑体" w:eastAsia="黑体" w:cs="宋体"/>
          <w:bCs/>
          <w:sz w:val="32"/>
          <w:szCs w:val="32"/>
          <w:shd w:val="clear" w:color="auto" w:fill="FFFFFF"/>
        </w:rPr>
        <w:t>一、总体情况</w:t>
      </w:r>
    </w:p>
    <w:p w14:paraId="513A2C1D">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62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我单位</w:t>
      </w:r>
      <w:r>
        <w:rPr>
          <w:rFonts w:hint="eastAsia" w:ascii="仿宋" w:hAnsi="仿宋" w:eastAsia="仿宋" w:cs="仿宋"/>
          <w:color w:val="333333"/>
          <w:sz w:val="32"/>
          <w:szCs w:val="32"/>
          <w:shd w:val="clear" w:color="auto" w:fill="FFFFFF"/>
        </w:rPr>
        <w:t>在认真贯彻落实《中华人民共和国政府信息公开条</w:t>
      </w:r>
      <w:r>
        <w:rPr>
          <w:rFonts w:hint="eastAsia" w:ascii="仿宋" w:hAnsi="仿宋" w:eastAsia="仿宋" w:cs="仿宋"/>
          <w:color w:val="333333"/>
          <w:sz w:val="32"/>
          <w:szCs w:val="32"/>
          <w:shd w:val="clear" w:color="auto" w:fill="FFFFFF"/>
          <w:lang w:eastAsia="zh-CN"/>
        </w:rPr>
        <w:t>例</w:t>
      </w:r>
      <w:r>
        <w:rPr>
          <w:rFonts w:hint="eastAsia" w:ascii="仿宋" w:hAnsi="仿宋" w:eastAsia="仿宋" w:cs="仿宋"/>
          <w:color w:val="333333"/>
          <w:sz w:val="32"/>
          <w:szCs w:val="32"/>
          <w:shd w:val="clear" w:color="auto" w:fill="FFFFFF"/>
        </w:rPr>
        <w:t>》办法以及</w:t>
      </w:r>
      <w:r>
        <w:rPr>
          <w:rFonts w:hint="eastAsia" w:ascii="仿宋" w:hAnsi="仿宋" w:eastAsia="仿宋" w:cs="仿宋"/>
          <w:color w:val="333333"/>
          <w:sz w:val="32"/>
          <w:szCs w:val="32"/>
          <w:shd w:val="clear" w:color="auto" w:fill="FFFFFF"/>
          <w:lang w:val="en-US" w:eastAsia="zh-CN"/>
        </w:rPr>
        <w:t>白沟新城管委会</w:t>
      </w:r>
      <w:r>
        <w:rPr>
          <w:rFonts w:hint="eastAsia" w:ascii="仿宋" w:hAnsi="仿宋" w:eastAsia="仿宋" w:cs="仿宋"/>
          <w:color w:val="333333"/>
          <w:sz w:val="32"/>
          <w:szCs w:val="32"/>
          <w:shd w:val="clear" w:color="auto" w:fill="FFFFFF"/>
        </w:rPr>
        <w:t>信息公开工作要求精神的基础上，严格按照政务公开工作要求，结合我</w:t>
      </w:r>
      <w:r>
        <w:rPr>
          <w:rFonts w:hint="eastAsia" w:ascii="仿宋" w:hAnsi="仿宋" w:eastAsia="仿宋" w:cs="仿宋"/>
          <w:color w:val="333333"/>
          <w:sz w:val="32"/>
          <w:szCs w:val="32"/>
          <w:shd w:val="clear" w:color="auto" w:fill="FFFFFF"/>
          <w:lang w:val="en-US" w:eastAsia="zh-CN"/>
        </w:rPr>
        <w:t>区</w:t>
      </w:r>
      <w:r>
        <w:rPr>
          <w:rFonts w:hint="eastAsia" w:ascii="仿宋" w:hAnsi="仿宋" w:eastAsia="仿宋" w:cs="仿宋"/>
          <w:color w:val="333333"/>
          <w:sz w:val="32"/>
          <w:szCs w:val="32"/>
          <w:shd w:val="clear" w:color="auto" w:fill="FFFFFF"/>
        </w:rPr>
        <w:t>实际，把政府信息公开工作作为加强党风廉政建设，转变工作作风的一项重要内容，认真部署，强化措施，狠抓落实，较好地完成了202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年政府信息公开各项工作。现将有关情况总结如下：</w:t>
      </w:r>
    </w:p>
    <w:p w14:paraId="3EBCCF31">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Autospacing="0" w:afterAutospacing="0" w:line="620" w:lineRule="exact"/>
        <w:ind w:firstLine="643" w:firstLineChars="200"/>
        <w:jc w:val="both"/>
        <w:textAlignment w:val="auto"/>
        <w:rPr>
          <w:rFonts w:hint="eastAsia" w:ascii="仿宋" w:hAnsi="仿宋" w:eastAsia="仿宋" w:cs="仿宋"/>
          <w:sz w:val="32"/>
          <w:szCs w:val="32"/>
          <w:shd w:val="clear" w:color="auto" w:fill="FFFFFF"/>
        </w:rPr>
      </w:pPr>
      <w:r>
        <w:rPr>
          <w:rFonts w:hint="eastAsia" w:ascii="仿宋_GB2312" w:hAnsi="仿宋_GB2312" w:eastAsia="仿宋_GB2312" w:cs="仿宋_GB2312"/>
          <w:b/>
          <w:sz w:val="32"/>
          <w:szCs w:val="32"/>
          <w:shd w:val="clear" w:color="auto" w:fill="FFFFFF"/>
          <w:lang w:eastAsia="zh-CN"/>
        </w:rPr>
        <w:t>（一）主动公开方面</w:t>
      </w:r>
      <w:r>
        <w:rPr>
          <w:rFonts w:hint="eastAsia" w:ascii="仿宋_GB2312" w:hAnsi="仿宋_GB2312" w:eastAsia="仿宋_GB2312" w:cs="仿宋_GB2312"/>
          <w:sz w:val="32"/>
          <w:szCs w:val="32"/>
          <w:shd w:val="clear" w:color="auto" w:fill="FFFFFF"/>
        </w:rPr>
        <w:t>。</w:t>
      </w:r>
      <w:r>
        <w:rPr>
          <w:rFonts w:hint="eastAsia" w:ascii="仿宋" w:hAnsi="仿宋" w:eastAsia="仿宋" w:cs="仿宋"/>
          <w:sz w:val="32"/>
          <w:szCs w:val="32"/>
          <w:shd w:val="clear" w:color="auto" w:fill="FFFFFF"/>
        </w:rPr>
        <w:t>通过</w:t>
      </w:r>
      <w:r>
        <w:rPr>
          <w:rFonts w:hint="eastAsia" w:ascii="仿宋" w:hAnsi="仿宋" w:eastAsia="仿宋" w:cs="仿宋"/>
          <w:sz w:val="32"/>
          <w:szCs w:val="32"/>
          <w:shd w:val="clear" w:color="auto" w:fill="FFFFFF"/>
          <w:lang w:val="en-US" w:eastAsia="zh-CN"/>
        </w:rPr>
        <w:t>白沟组工在线</w:t>
      </w:r>
      <w:r>
        <w:rPr>
          <w:rFonts w:hint="eastAsia" w:ascii="仿宋" w:hAnsi="仿宋" w:eastAsia="仿宋" w:cs="仿宋"/>
          <w:sz w:val="32"/>
          <w:szCs w:val="32"/>
          <w:shd w:val="clear" w:color="auto" w:fill="FFFFFF"/>
        </w:rPr>
        <w:t>微信公众号等信息公开发布宣传阵地，开展了线上线下同步宣传，及时更新发布</w:t>
      </w:r>
      <w:r>
        <w:rPr>
          <w:rFonts w:hint="eastAsia" w:ascii="仿宋" w:hAnsi="仿宋" w:eastAsia="仿宋" w:cs="仿宋"/>
          <w:sz w:val="32"/>
          <w:szCs w:val="32"/>
          <w:shd w:val="clear" w:color="auto" w:fill="FFFFFF"/>
          <w:lang w:val="en-US" w:eastAsia="zh-CN"/>
        </w:rPr>
        <w:t>组工、党建、</w:t>
      </w:r>
      <w:r>
        <w:rPr>
          <w:rFonts w:hint="eastAsia" w:ascii="仿宋" w:hAnsi="仿宋" w:eastAsia="仿宋" w:cs="仿宋"/>
          <w:sz w:val="32"/>
          <w:szCs w:val="32"/>
          <w:shd w:val="clear" w:color="auto" w:fill="FFFFFF"/>
        </w:rPr>
        <w:t>就业、社保、人才和劳动保障等相关政策，对重点领域、重大决策信息主动公开，及时主动回应社会关切。</w:t>
      </w:r>
      <w:r>
        <w:rPr>
          <w:rFonts w:hint="eastAsia" w:ascii="仿宋" w:hAnsi="仿宋" w:eastAsia="仿宋" w:cs="仿宋"/>
          <w:color w:val="333333"/>
          <w:sz w:val="32"/>
          <w:szCs w:val="32"/>
          <w:shd w:val="clear" w:color="auto" w:fill="FFFFFF"/>
        </w:rPr>
        <w:t>截止202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年12月31日，在微信公众号发布动态</w:t>
      </w:r>
      <w:r>
        <w:rPr>
          <w:rFonts w:hint="eastAsia" w:ascii="仿宋" w:hAnsi="仿宋" w:eastAsia="仿宋" w:cs="仿宋"/>
          <w:color w:val="333333"/>
          <w:sz w:val="32"/>
          <w:szCs w:val="32"/>
          <w:shd w:val="clear" w:color="auto" w:fill="FFFFFF"/>
          <w:lang w:val="en-US" w:eastAsia="zh-CN"/>
        </w:rPr>
        <w:t>263</w:t>
      </w:r>
      <w:r>
        <w:rPr>
          <w:rFonts w:hint="eastAsia" w:ascii="仿宋" w:hAnsi="仿宋" w:eastAsia="仿宋" w:cs="仿宋"/>
          <w:color w:val="333333"/>
          <w:sz w:val="32"/>
          <w:szCs w:val="32"/>
          <w:shd w:val="clear" w:color="auto" w:fill="FFFFFF"/>
        </w:rPr>
        <w:t>条</w:t>
      </w:r>
    </w:p>
    <w:p w14:paraId="1F56E668">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Autospacing="0" w:afterAutospacing="0" w:line="620" w:lineRule="exact"/>
        <w:ind w:firstLine="643"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eastAsia="zh-CN"/>
        </w:rPr>
        <w:t>（二）依申请公开方面</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2024年度，我单位未发生因有关政府信息公开而引发的行政复议案和行政诉讼案，未收到各类有关本单位政府信息公开事务的申诉案，也未收到公民、法人或其他组织提出的政府信息公开申请。</w:t>
      </w:r>
    </w:p>
    <w:p w14:paraId="53312760">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Autospacing="0" w:afterAutospacing="0" w:line="620" w:lineRule="exact"/>
        <w:ind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lang w:eastAsia="zh-CN"/>
        </w:rPr>
        <w:t>（三）政府信息管理方面</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2024年，我单位深化落实《条例》，按照上级部门统一部署，坚持以公开为常态、以不公开为例外原则，着眼于促进政府公开、有效施政和保障人民群众的知情权、参与权、表达权和监督权，不断加大主动公开和依申请公开力度，深入推进重点领域信息公开，积极、有序、稳妥推进政府信息公开的各项工作。</w:t>
      </w:r>
    </w:p>
    <w:p w14:paraId="1ADEC87B">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Autospacing="0" w:afterAutospacing="0" w:line="620" w:lineRule="exact"/>
        <w:ind w:firstLine="643" w:firstLineChars="200"/>
        <w:jc w:val="both"/>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
          <w:bCs w:val="0"/>
          <w:sz w:val="32"/>
          <w:szCs w:val="32"/>
          <w:shd w:val="clear" w:color="auto" w:fill="FFFFFF"/>
          <w:lang w:eastAsia="zh-CN"/>
        </w:rPr>
        <w:t>（四）</w:t>
      </w:r>
      <w:r>
        <w:rPr>
          <w:rFonts w:hint="eastAsia" w:ascii="仿宋_GB2312" w:hAnsi="仿宋_GB2312" w:eastAsia="仿宋_GB2312" w:cs="仿宋_GB2312"/>
          <w:b/>
          <w:bCs w:val="0"/>
          <w:sz w:val="32"/>
          <w:szCs w:val="32"/>
          <w:shd w:val="clear" w:color="auto" w:fill="FFFFFF"/>
        </w:rPr>
        <w:t>政府信息公开平台建设</w:t>
      </w:r>
      <w:r>
        <w:rPr>
          <w:rFonts w:hint="eastAsia" w:ascii="仿宋_GB2312" w:hAnsi="仿宋_GB2312" w:eastAsia="仿宋_GB2312" w:cs="仿宋_GB2312"/>
          <w:b/>
          <w:bCs w:val="0"/>
          <w:sz w:val="32"/>
          <w:szCs w:val="32"/>
          <w:shd w:val="clear" w:color="auto" w:fill="FFFFFF"/>
          <w:lang w:eastAsia="zh-CN"/>
        </w:rPr>
        <w:t>方面</w:t>
      </w:r>
      <w:r>
        <w:rPr>
          <w:rFonts w:hint="eastAsia" w:ascii="仿宋_GB2312" w:hAnsi="仿宋_GB2312" w:eastAsia="仿宋_GB2312" w:cs="仿宋_GB2312"/>
          <w:b/>
          <w:bCs w:val="0"/>
          <w:sz w:val="32"/>
          <w:szCs w:val="32"/>
          <w:shd w:val="clear" w:color="auto" w:fill="FFFFFF"/>
        </w:rPr>
        <w:t>。</w:t>
      </w:r>
      <w:r>
        <w:rPr>
          <w:rFonts w:hint="eastAsia" w:ascii="仿宋_GB2312" w:hAnsi="仿宋_GB2312" w:eastAsia="仿宋_GB2312" w:cs="仿宋_GB2312"/>
          <w:bCs/>
          <w:sz w:val="32"/>
          <w:szCs w:val="32"/>
          <w:shd w:val="clear" w:color="auto" w:fill="FFFFFF"/>
          <w:lang w:val="en-US" w:eastAsia="zh-CN"/>
        </w:rPr>
        <w:t>依托公众号及时公开政府信息，强化政务信息网上发布工作，建立完善的信息发布管理制度，第一时间发布重要活动、重要政策信息。</w:t>
      </w:r>
      <w:r>
        <w:rPr>
          <w:rFonts w:hint="eastAsia" w:ascii="仿宋_GB2312" w:hAnsi="仿宋_GB2312" w:eastAsia="仿宋_GB2312" w:cs="仿宋_GB2312"/>
          <w:bCs/>
          <w:sz w:val="32"/>
          <w:szCs w:val="32"/>
          <w:shd w:val="clear" w:color="auto" w:fill="FFFFFF"/>
        </w:rPr>
        <w:t>。</w:t>
      </w:r>
    </w:p>
    <w:p w14:paraId="176BB0ED">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Autospacing="0" w:afterAutospacing="0" w:line="620" w:lineRule="exact"/>
        <w:ind w:firstLine="643" w:firstLineChars="200"/>
        <w:jc w:val="both"/>
        <w:textAlignment w:val="auto"/>
        <w:rPr>
          <w:rFonts w:hint="default"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
          <w:bCs w:val="0"/>
          <w:sz w:val="32"/>
          <w:szCs w:val="32"/>
          <w:shd w:val="clear" w:color="auto" w:fill="FFFFFF"/>
          <w:lang w:eastAsia="zh-CN"/>
        </w:rPr>
        <w:t>（五）</w:t>
      </w:r>
      <w:r>
        <w:rPr>
          <w:rFonts w:hint="eastAsia" w:ascii="仿宋_GB2312" w:hAnsi="仿宋_GB2312" w:eastAsia="仿宋_GB2312" w:cs="仿宋_GB2312"/>
          <w:b/>
          <w:bCs w:val="0"/>
          <w:sz w:val="32"/>
          <w:szCs w:val="32"/>
          <w:shd w:val="clear" w:color="auto" w:fill="FFFFFF"/>
        </w:rPr>
        <w:t>监督保障</w:t>
      </w:r>
      <w:r>
        <w:rPr>
          <w:rFonts w:hint="eastAsia" w:ascii="仿宋_GB2312" w:hAnsi="仿宋_GB2312" w:eastAsia="仿宋_GB2312" w:cs="仿宋_GB2312"/>
          <w:b/>
          <w:bCs w:val="0"/>
          <w:sz w:val="32"/>
          <w:szCs w:val="32"/>
          <w:shd w:val="clear" w:color="auto" w:fill="FFFFFF"/>
          <w:lang w:eastAsia="zh-CN"/>
        </w:rPr>
        <w:t>方面</w:t>
      </w:r>
      <w:r>
        <w:rPr>
          <w:rFonts w:hint="eastAsia" w:ascii="仿宋_GB2312" w:hAnsi="仿宋_GB2312" w:eastAsia="仿宋_GB2312" w:cs="仿宋_GB2312"/>
          <w:b/>
          <w:bCs w:val="0"/>
          <w:sz w:val="32"/>
          <w:szCs w:val="32"/>
          <w:shd w:val="clear" w:color="auto" w:fill="FFFFFF"/>
        </w:rPr>
        <w:t>。</w:t>
      </w:r>
      <w:r>
        <w:rPr>
          <w:rFonts w:hint="eastAsia" w:ascii="仿宋_GB2312" w:hAnsi="仿宋_GB2312" w:eastAsia="仿宋_GB2312" w:cs="仿宋_GB2312"/>
          <w:b/>
          <w:bCs w:val="0"/>
          <w:sz w:val="32"/>
          <w:szCs w:val="32"/>
          <w:shd w:val="clear" w:color="auto" w:fill="FFFFFF"/>
          <w:lang w:val="en-US" w:eastAsia="zh-CN"/>
        </w:rPr>
        <w:t>2024年</w:t>
      </w:r>
      <w:r>
        <w:rPr>
          <w:rFonts w:hint="eastAsia" w:ascii="仿宋_GB2312" w:hAnsi="仿宋_GB2312" w:eastAsia="仿宋_GB2312" w:cs="仿宋_GB2312"/>
          <w:bCs/>
          <w:sz w:val="32"/>
          <w:szCs w:val="32"/>
          <w:shd w:val="clear" w:color="auto" w:fill="FFFFFF"/>
          <w:lang w:val="en-US" w:eastAsia="zh-CN"/>
        </w:rPr>
        <w:t>我单位将政府信息公开纳入绩效管理，实行量化考核，加强日常督查力度，明确专人负责政府信息公开日常工作，定期检查公开情况，确保信息发布的准确、及时、规范、完整。本年度我单位没有发生因政务公开引发的责任追究情况。</w:t>
      </w:r>
    </w:p>
    <w:p w14:paraId="1D8DBE67">
      <w:pPr>
        <w:pStyle w:val="4"/>
        <w:widowControl/>
        <w:shd w:val="clear" w:color="auto" w:fill="FFFFFF"/>
        <w:spacing w:beforeAutospacing="0" w:afterAutospacing="0" w:line="580" w:lineRule="exact"/>
        <w:ind w:firstLine="640" w:firstLineChars="200"/>
        <w:jc w:val="both"/>
        <w:rPr>
          <w:rFonts w:ascii="黑体" w:hAnsi="黑体" w:eastAsia="黑体" w:cs="宋体"/>
          <w:sz w:val="32"/>
          <w:szCs w:val="32"/>
        </w:rPr>
      </w:pPr>
      <w:r>
        <w:rPr>
          <w:rFonts w:hint="eastAsia" w:ascii="黑体" w:hAnsi="黑体" w:eastAsia="黑体" w:cs="宋体"/>
          <w:bCs/>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65CD15F1">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1B6D8C59">
            <w:pPr>
              <w:widowControl/>
              <w:spacing w:line="580" w:lineRule="exact"/>
              <w:jc w:val="center"/>
            </w:pPr>
            <w:r>
              <w:rPr>
                <w:rFonts w:hint="eastAsia" w:ascii="宋体" w:hAnsi="宋体" w:eastAsia="宋体" w:cs="宋体"/>
                <w:kern w:val="0"/>
                <w:sz w:val="20"/>
                <w:szCs w:val="20"/>
              </w:rPr>
              <w:t>第二十条第（一）项</w:t>
            </w:r>
          </w:p>
        </w:tc>
      </w:tr>
      <w:tr w14:paraId="4323DC7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73E4AB1">
            <w:pPr>
              <w:widowControl/>
              <w:spacing w:line="580" w:lineRule="exact"/>
              <w:jc w:val="center"/>
            </w:pPr>
            <w:r>
              <w:rPr>
                <w:rFonts w:hint="eastAsia" w:ascii="宋体" w:hAnsi="宋体" w:eastAsia="宋体" w:cs="宋体"/>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2F20832">
            <w:pPr>
              <w:widowControl/>
              <w:spacing w:line="580" w:lineRule="exact"/>
              <w:jc w:val="center"/>
            </w:pPr>
            <w:r>
              <w:rPr>
                <w:rFonts w:hint="eastAsia" w:ascii="宋体" w:hAnsi="宋体" w:eastAsia="宋体" w:cs="宋体"/>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6CE51E8">
            <w:pPr>
              <w:widowControl/>
              <w:spacing w:line="580" w:lineRule="exact"/>
              <w:jc w:val="center"/>
            </w:pPr>
            <w:r>
              <w:rPr>
                <w:rFonts w:hint="eastAsia" w:ascii="宋体" w:hAnsi="宋体" w:eastAsia="宋体" w:cs="宋体"/>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E491EA4">
            <w:pPr>
              <w:widowControl/>
              <w:spacing w:line="580" w:lineRule="exact"/>
              <w:jc w:val="center"/>
            </w:pPr>
            <w:r>
              <w:rPr>
                <w:rFonts w:hint="eastAsia" w:ascii="宋体" w:hAnsi="宋体" w:eastAsia="宋体" w:cs="宋体"/>
                <w:kern w:val="0"/>
                <w:sz w:val="20"/>
                <w:szCs w:val="20"/>
              </w:rPr>
              <w:t>现行有效件数</w:t>
            </w:r>
          </w:p>
        </w:tc>
      </w:tr>
      <w:tr w14:paraId="39A4DFD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F46057">
            <w:pPr>
              <w:widowControl/>
              <w:spacing w:line="580" w:lineRule="exact"/>
              <w:jc w:val="left"/>
            </w:pPr>
            <w:r>
              <w:rPr>
                <w:rFonts w:hint="eastAsia" w:ascii="宋体" w:hAnsi="宋体" w:eastAsia="宋体" w:cs="宋体"/>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981D102">
            <w:pPr>
              <w:widowControl/>
              <w:spacing w:line="580" w:lineRule="exact"/>
              <w:jc w:val="center"/>
            </w:pPr>
            <w:r>
              <w:rPr>
                <w:rFonts w:hint="eastAsia" w:ascii="宋体" w:hAnsi="宋体" w:eastAsia="宋体" w:cs="宋体"/>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688C359">
            <w:pPr>
              <w:widowControl/>
              <w:spacing w:line="580" w:lineRule="exact"/>
              <w:jc w:val="center"/>
            </w:pPr>
            <w:r>
              <w:rPr>
                <w:rFonts w:hint="eastAsia" w:ascii="宋体" w:hAnsi="宋体" w:eastAsia="宋体" w:cs="宋体"/>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D4D29AE">
            <w:pPr>
              <w:widowControl/>
              <w:spacing w:line="580" w:lineRule="exact"/>
              <w:jc w:val="center"/>
            </w:pPr>
            <w:r>
              <w:rPr>
                <w:rFonts w:hint="eastAsia" w:ascii="Calibri" w:hAnsi="Calibri" w:cs="Calibri"/>
                <w:kern w:val="0"/>
                <w:szCs w:val="21"/>
              </w:rPr>
              <w:t>0</w:t>
            </w:r>
          </w:p>
        </w:tc>
      </w:tr>
      <w:tr w14:paraId="04C3B3A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64D037C">
            <w:pPr>
              <w:widowControl/>
              <w:spacing w:line="580" w:lineRule="exact"/>
              <w:jc w:val="left"/>
            </w:pPr>
            <w:r>
              <w:rPr>
                <w:rFonts w:hint="eastAsia" w:ascii="宋体" w:hAnsi="宋体" w:eastAsia="宋体" w:cs="宋体"/>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F7F25D7">
            <w:pPr>
              <w:widowControl/>
              <w:spacing w:line="580" w:lineRule="exact"/>
              <w:jc w:val="center"/>
            </w:pPr>
            <w:r>
              <w:rPr>
                <w:rFonts w:hint="eastAsia" w:ascii="宋体" w:hAnsi="宋体" w:eastAsia="宋体" w:cs="宋体"/>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DABFAB8">
            <w:pPr>
              <w:widowControl/>
              <w:spacing w:line="580" w:lineRule="exact"/>
              <w:jc w:val="center"/>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6ACD907">
            <w:pPr>
              <w:widowControl/>
              <w:spacing w:line="580" w:lineRule="exact"/>
              <w:jc w:val="center"/>
            </w:pPr>
            <w:r>
              <w:rPr>
                <w:rFonts w:hint="eastAsia" w:ascii="Calibri" w:hAnsi="Calibri" w:cs="Calibri"/>
                <w:kern w:val="0"/>
                <w:szCs w:val="21"/>
              </w:rPr>
              <w:t>0</w:t>
            </w:r>
          </w:p>
        </w:tc>
      </w:tr>
      <w:tr w14:paraId="4ED1692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5231320">
            <w:pPr>
              <w:widowControl/>
              <w:spacing w:line="580" w:lineRule="exact"/>
              <w:jc w:val="center"/>
            </w:pPr>
            <w:r>
              <w:rPr>
                <w:rFonts w:hint="eastAsia" w:ascii="宋体" w:hAnsi="宋体" w:eastAsia="宋体" w:cs="宋体"/>
                <w:kern w:val="0"/>
                <w:sz w:val="20"/>
                <w:szCs w:val="20"/>
              </w:rPr>
              <w:t>第二十条第（五）项</w:t>
            </w:r>
          </w:p>
        </w:tc>
      </w:tr>
      <w:tr w14:paraId="47CBE0B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C85C2BB">
            <w:pPr>
              <w:widowControl/>
              <w:spacing w:line="580" w:lineRule="exact"/>
              <w:jc w:val="cente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4BF5313">
            <w:pPr>
              <w:widowControl/>
              <w:spacing w:line="580" w:lineRule="exact"/>
              <w:jc w:val="center"/>
            </w:pPr>
            <w:r>
              <w:rPr>
                <w:rFonts w:hint="eastAsia" w:ascii="宋体" w:hAnsi="宋体" w:eastAsia="宋体" w:cs="宋体"/>
                <w:kern w:val="0"/>
                <w:sz w:val="20"/>
                <w:szCs w:val="20"/>
              </w:rPr>
              <w:t>本年处理决定数量</w:t>
            </w:r>
          </w:p>
        </w:tc>
      </w:tr>
      <w:tr w14:paraId="5280966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A8BA259">
            <w:pPr>
              <w:widowControl/>
              <w:spacing w:line="580" w:lineRule="exact"/>
              <w:jc w:val="left"/>
            </w:pPr>
            <w:r>
              <w:rPr>
                <w:rFonts w:hint="eastAsia" w:ascii="宋体" w:hAnsi="宋体" w:eastAsia="宋体" w:cs="宋体"/>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72B62F9">
            <w:pPr>
              <w:widowControl/>
              <w:spacing w:line="580" w:lineRule="exact"/>
              <w:jc w:val="center"/>
            </w:pPr>
            <w:r>
              <w:rPr>
                <w:rFonts w:hint="eastAsia" w:ascii="Calibri" w:hAnsi="Calibri" w:cs="Calibri"/>
                <w:kern w:val="0"/>
                <w:szCs w:val="21"/>
              </w:rPr>
              <w:t>0</w:t>
            </w:r>
          </w:p>
        </w:tc>
      </w:tr>
      <w:tr w14:paraId="7043336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14B0A41">
            <w:pPr>
              <w:widowControl/>
              <w:spacing w:line="580" w:lineRule="exact"/>
              <w:jc w:val="center"/>
            </w:pPr>
            <w:r>
              <w:rPr>
                <w:rFonts w:hint="eastAsia" w:ascii="宋体" w:hAnsi="宋体" w:eastAsia="宋体" w:cs="宋体"/>
                <w:kern w:val="0"/>
                <w:sz w:val="20"/>
                <w:szCs w:val="20"/>
              </w:rPr>
              <w:t>第二十条第（六）项</w:t>
            </w:r>
          </w:p>
        </w:tc>
      </w:tr>
      <w:tr w14:paraId="220F0B9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C429022">
            <w:pPr>
              <w:widowControl/>
              <w:spacing w:line="580" w:lineRule="exact"/>
              <w:jc w:val="center"/>
            </w:pPr>
            <w:r>
              <w:rPr>
                <w:rFonts w:hint="eastAsia" w:ascii="宋体" w:hAnsi="宋体" w:eastAsia="宋体" w:cs="宋体"/>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857D862">
            <w:pPr>
              <w:widowControl/>
              <w:spacing w:line="580" w:lineRule="exact"/>
              <w:jc w:val="center"/>
            </w:pPr>
            <w:r>
              <w:rPr>
                <w:rFonts w:hint="eastAsia" w:ascii="宋体" w:hAnsi="宋体" w:eastAsia="宋体" w:cs="宋体"/>
                <w:kern w:val="0"/>
                <w:sz w:val="20"/>
                <w:szCs w:val="20"/>
              </w:rPr>
              <w:t>本年处理决定数量</w:t>
            </w:r>
          </w:p>
        </w:tc>
      </w:tr>
      <w:tr w14:paraId="75B137C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FD6F3AB">
            <w:pPr>
              <w:widowControl/>
              <w:spacing w:line="580" w:lineRule="exact"/>
              <w:jc w:val="left"/>
            </w:pPr>
            <w:r>
              <w:rPr>
                <w:rFonts w:hint="eastAsia" w:ascii="宋体" w:hAnsi="宋体" w:eastAsia="宋体" w:cs="宋体"/>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1395368">
            <w:pPr>
              <w:widowControl/>
              <w:spacing w:line="580" w:lineRule="exact"/>
              <w:jc w:val="center"/>
              <w:rPr>
                <w:rFonts w:hint="eastAsia" w:eastAsiaTheme="minorEastAsia"/>
                <w:lang w:eastAsia="zh-CN"/>
              </w:rPr>
            </w:pPr>
            <w:r>
              <w:rPr>
                <w:rFonts w:hint="eastAsia" w:ascii="宋体" w:hAnsi="宋体" w:eastAsia="宋体" w:cs="宋体"/>
                <w:kern w:val="0"/>
                <w:sz w:val="20"/>
                <w:szCs w:val="20"/>
                <w:lang w:val="en-US" w:eastAsia="zh-CN"/>
              </w:rPr>
              <w:t>0</w:t>
            </w:r>
          </w:p>
        </w:tc>
      </w:tr>
      <w:tr w14:paraId="1A6C0F5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C4E39C5">
            <w:pPr>
              <w:widowControl/>
              <w:spacing w:line="580" w:lineRule="exact"/>
              <w:jc w:val="left"/>
            </w:pPr>
            <w:r>
              <w:rPr>
                <w:rFonts w:hint="eastAsia" w:ascii="宋体" w:hAnsi="宋体" w:eastAsia="宋体" w:cs="宋体"/>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0690912">
            <w:pPr>
              <w:widowControl/>
              <w:spacing w:line="580" w:lineRule="exact"/>
              <w:jc w:val="center"/>
            </w:pPr>
            <w:r>
              <w:rPr>
                <w:rFonts w:hint="eastAsia" w:ascii="宋体" w:hAnsi="宋体" w:eastAsia="宋体" w:cs="宋体"/>
                <w:kern w:val="0"/>
                <w:sz w:val="20"/>
                <w:szCs w:val="20"/>
              </w:rPr>
              <w:t>0</w:t>
            </w:r>
          </w:p>
        </w:tc>
      </w:tr>
      <w:tr w14:paraId="1BA9C16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F334CD7">
            <w:pPr>
              <w:widowControl/>
              <w:spacing w:line="580" w:lineRule="exact"/>
              <w:jc w:val="center"/>
            </w:pPr>
            <w:r>
              <w:rPr>
                <w:rFonts w:hint="eastAsia" w:ascii="宋体" w:hAnsi="宋体" w:eastAsia="宋体" w:cs="宋体"/>
                <w:kern w:val="0"/>
                <w:sz w:val="20"/>
                <w:szCs w:val="20"/>
              </w:rPr>
              <w:t>第二十条第（八）项</w:t>
            </w:r>
          </w:p>
        </w:tc>
      </w:tr>
      <w:tr w14:paraId="192821F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8611B8C">
            <w:pPr>
              <w:widowControl/>
              <w:spacing w:line="580" w:lineRule="exact"/>
              <w:jc w:val="cente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82E76AE">
            <w:pPr>
              <w:widowControl/>
              <w:spacing w:line="580" w:lineRule="exact"/>
              <w:jc w:val="center"/>
            </w:pPr>
            <w:r>
              <w:rPr>
                <w:rFonts w:hint="eastAsia" w:ascii="宋体" w:hAnsi="宋体" w:eastAsia="宋体" w:cs="宋体"/>
                <w:kern w:val="0"/>
                <w:sz w:val="20"/>
                <w:szCs w:val="20"/>
              </w:rPr>
              <w:t>本年收费金额（单位：万元）</w:t>
            </w:r>
          </w:p>
        </w:tc>
      </w:tr>
      <w:tr w14:paraId="3F92075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4F32B62">
            <w:pPr>
              <w:widowControl/>
              <w:spacing w:line="580" w:lineRule="exact"/>
              <w:jc w:val="left"/>
            </w:pPr>
            <w:r>
              <w:rPr>
                <w:rFonts w:hint="eastAsia" w:ascii="宋体" w:hAnsi="宋体" w:eastAsia="宋体" w:cs="宋体"/>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7A122EE2">
            <w:pPr>
              <w:spacing w:line="580" w:lineRule="exact"/>
              <w:jc w:val="center"/>
              <w:rPr>
                <w:rFonts w:hint="default" w:ascii="宋体" w:eastAsiaTheme="minorEastAsia"/>
                <w:sz w:val="24"/>
                <w:lang w:val="en-US" w:eastAsia="zh-CN"/>
              </w:rPr>
            </w:pPr>
            <w:r>
              <w:rPr>
                <w:rFonts w:hint="eastAsia" w:ascii="宋体"/>
                <w:sz w:val="24"/>
                <w:lang w:val="en-US" w:eastAsia="zh-CN"/>
              </w:rPr>
              <w:t>0.496</w:t>
            </w:r>
            <w:bookmarkStart w:id="0" w:name="_GoBack"/>
            <w:bookmarkEnd w:id="0"/>
          </w:p>
        </w:tc>
      </w:tr>
    </w:tbl>
    <w:p w14:paraId="2B5C1161">
      <w:pPr>
        <w:pStyle w:val="4"/>
        <w:widowControl/>
        <w:shd w:val="clear" w:color="auto" w:fill="FFFFFF"/>
        <w:spacing w:beforeAutospacing="0" w:afterAutospacing="0" w:line="580" w:lineRule="exact"/>
        <w:ind w:firstLine="640" w:firstLineChars="200"/>
        <w:jc w:val="both"/>
        <w:rPr>
          <w:rFonts w:ascii="黑体" w:hAnsi="黑体" w:eastAsia="黑体" w:cs="宋体"/>
          <w:sz w:val="32"/>
          <w:szCs w:val="32"/>
        </w:rPr>
      </w:pPr>
      <w:r>
        <w:rPr>
          <w:rFonts w:hint="eastAsia" w:ascii="黑体" w:hAnsi="黑体" w:eastAsia="黑体" w:cs="宋体"/>
          <w:bCs/>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47BC9E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F8FE1D1">
            <w:pPr>
              <w:widowControl/>
              <w:spacing w:line="580" w:lineRule="exact"/>
              <w:jc w:val="left"/>
            </w:pPr>
            <w:r>
              <w:rPr>
                <w:rFonts w:hint="eastAsia"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BE7147E">
            <w:pPr>
              <w:widowControl/>
              <w:spacing w:line="580" w:lineRule="exact"/>
              <w:jc w:val="center"/>
            </w:pPr>
            <w:r>
              <w:rPr>
                <w:rFonts w:hint="eastAsia" w:ascii="宋体" w:hAnsi="宋体" w:eastAsia="宋体" w:cs="宋体"/>
                <w:kern w:val="0"/>
                <w:sz w:val="20"/>
                <w:szCs w:val="20"/>
              </w:rPr>
              <w:t>申请人情况</w:t>
            </w:r>
          </w:p>
        </w:tc>
      </w:tr>
      <w:tr w14:paraId="2281E7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6E4601A">
            <w:pPr>
              <w:spacing w:line="580" w:lineRule="exact"/>
              <w:rPr>
                <w:rFonts w:ascii="宋体"/>
                <w:sz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2DA171B">
            <w:pPr>
              <w:widowControl/>
              <w:spacing w:line="580" w:lineRule="exact"/>
              <w:jc w:val="cente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D438519">
            <w:pPr>
              <w:widowControl/>
              <w:spacing w:line="580" w:lineRule="exact"/>
              <w:jc w:val="cente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C828F79">
            <w:pPr>
              <w:widowControl/>
              <w:spacing w:line="580" w:lineRule="exact"/>
              <w:jc w:val="center"/>
            </w:pPr>
            <w:r>
              <w:rPr>
                <w:rFonts w:hint="eastAsia" w:ascii="宋体" w:hAnsi="宋体" w:eastAsia="宋体" w:cs="宋体"/>
                <w:kern w:val="0"/>
                <w:sz w:val="20"/>
                <w:szCs w:val="20"/>
              </w:rPr>
              <w:t>总计</w:t>
            </w:r>
          </w:p>
        </w:tc>
      </w:tr>
      <w:tr w14:paraId="278118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A4DE8E3">
            <w:pPr>
              <w:spacing w:line="580" w:lineRule="exact"/>
              <w:rPr>
                <w:rFonts w:ascii="宋体"/>
                <w:sz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5B75CEC">
            <w:pPr>
              <w:spacing w:line="580" w:lineRule="exact"/>
              <w:rPr>
                <w:rFonts w:ascii="宋体"/>
                <w:sz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F44887">
            <w:pPr>
              <w:widowControl/>
              <w:spacing w:line="580" w:lineRule="exact"/>
              <w:jc w:val="center"/>
            </w:pPr>
            <w:r>
              <w:rPr>
                <w:rFonts w:hint="eastAsia" w:ascii="宋体" w:hAnsi="宋体" w:eastAsia="宋体" w:cs="宋体"/>
                <w:kern w:val="0"/>
                <w:sz w:val="20"/>
                <w:szCs w:val="20"/>
              </w:rPr>
              <w:t>商业</w:t>
            </w:r>
          </w:p>
          <w:p w14:paraId="502BC793">
            <w:pPr>
              <w:widowControl/>
              <w:spacing w:line="580" w:lineRule="exact"/>
              <w:jc w:val="cente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5108C4">
            <w:pPr>
              <w:widowControl/>
              <w:spacing w:line="580" w:lineRule="exact"/>
              <w:jc w:val="center"/>
            </w:pPr>
            <w:r>
              <w:rPr>
                <w:rFonts w:hint="eastAsia" w:ascii="宋体" w:hAnsi="宋体" w:eastAsia="宋体" w:cs="宋体"/>
                <w:kern w:val="0"/>
                <w:sz w:val="20"/>
                <w:szCs w:val="20"/>
              </w:rPr>
              <w:t>科研</w:t>
            </w:r>
          </w:p>
          <w:p w14:paraId="7C7603DA">
            <w:pPr>
              <w:widowControl/>
              <w:spacing w:line="580" w:lineRule="exact"/>
              <w:jc w:val="cente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1B02514">
            <w:pPr>
              <w:widowControl/>
              <w:spacing w:line="580" w:lineRule="exact"/>
              <w:jc w:val="cente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6CE9296">
            <w:pPr>
              <w:widowControl/>
              <w:spacing w:line="580" w:lineRule="exact"/>
              <w:jc w:val="cente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1E5A138">
            <w:pPr>
              <w:widowControl/>
              <w:spacing w:line="580" w:lineRule="exact"/>
              <w:jc w:val="center"/>
            </w:pPr>
            <w:r>
              <w:rPr>
                <w:rFonts w:hint="eastAsia" w:ascii="宋体" w:hAnsi="宋体" w:eastAsia="宋体" w:cs="宋体"/>
                <w:kern w:val="0"/>
                <w:sz w:val="20"/>
                <w:szCs w:val="20"/>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3F8C9FFB">
            <w:pPr>
              <w:spacing w:line="580" w:lineRule="exact"/>
              <w:rPr>
                <w:rFonts w:ascii="宋体"/>
                <w:sz w:val="24"/>
              </w:rPr>
            </w:pPr>
          </w:p>
        </w:tc>
      </w:tr>
      <w:tr w14:paraId="00336D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34E7040">
            <w:pPr>
              <w:widowControl/>
              <w:spacing w:line="580" w:lineRule="exact"/>
              <w:jc w:val="left"/>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99414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5DBCAA">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CF4BC6">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6F441E">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B7FD4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1FBD85">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A647486">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329D8B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9389F4F">
            <w:pPr>
              <w:widowControl/>
              <w:spacing w:line="580" w:lineRule="exact"/>
              <w:jc w:val="left"/>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B73AD0">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5DE224">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C7E6145">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1C8C0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D952B4">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712791">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70F1A35">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7207FA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6861667">
            <w:pPr>
              <w:widowControl/>
              <w:spacing w:line="580" w:lineRule="exact"/>
              <w:jc w:val="left"/>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964519D">
            <w:pPr>
              <w:widowControl/>
              <w:spacing w:line="580" w:lineRule="exact"/>
              <w:jc w:val="left"/>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083A1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7C34F7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F7E01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43B725">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BD2B0B">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BBCE66">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50AD1E9E">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77BB41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2DA7FA7">
            <w:pPr>
              <w:spacing w:line="580" w:lineRule="exact"/>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0FCAFAC">
            <w:pPr>
              <w:widowControl/>
              <w:spacing w:line="580" w:lineRule="exact"/>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DC1724">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88BD0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6DEC14">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6C9D11">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487512">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656860">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FCB1F03">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47B91A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0B9CBFB">
            <w:pPr>
              <w:spacing w:line="580" w:lineRule="exact"/>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846454D">
            <w:pPr>
              <w:widowControl/>
              <w:spacing w:line="580" w:lineRule="exact"/>
              <w:jc w:val="left"/>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05C40011">
            <w:pPr>
              <w:widowControl/>
              <w:spacing w:line="580" w:lineRule="exact"/>
              <w:jc w:val="left"/>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E927A1E">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D00162A">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52B035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59C2C40">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46EC6F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B16601E">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0AF95397">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7A69FC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F9ED1D7">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6674BC0">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07C462FD">
            <w:pPr>
              <w:widowControl/>
              <w:spacing w:line="580" w:lineRule="exact"/>
              <w:jc w:val="left"/>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6B5FACF">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1BE884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96856FF">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8F454D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4EDBA2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F1DC2E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32DA84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26773F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6F9E4B9">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1675706">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1A74C4BA">
            <w:pPr>
              <w:widowControl/>
              <w:spacing w:line="580" w:lineRule="exact"/>
              <w:jc w:val="left"/>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D9A786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0993624">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F347CB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7AEA67B">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8B6C282">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50DFFA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0598100">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65D4FF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BCE17B7">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A981071">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669AD426">
            <w:pPr>
              <w:widowControl/>
              <w:spacing w:line="580" w:lineRule="exact"/>
              <w:jc w:val="left"/>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BBCFC70">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83B067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7F637F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A114F6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E22F666">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689C4D7">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9DF8D44">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r>
      <w:tr w14:paraId="268012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79DCA22">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D641305">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48C5CB41">
            <w:pPr>
              <w:widowControl/>
              <w:spacing w:line="580" w:lineRule="exact"/>
              <w:jc w:val="left"/>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E512962">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3056135">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C0E32E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6F69D13">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2A108F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92D8884">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CF3C34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r>
      <w:tr w14:paraId="64EC76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3F402BE">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06034B1">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57D41429">
            <w:pPr>
              <w:widowControl/>
              <w:spacing w:line="580" w:lineRule="exact"/>
              <w:jc w:val="left"/>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90654C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C9D618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B87DCB8">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8C1A56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9254EE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B1E6A4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374A532">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2FC8D0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86915B5">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10C7BBF">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399751A3">
            <w:pPr>
              <w:widowControl/>
              <w:spacing w:line="580" w:lineRule="exact"/>
              <w:jc w:val="left"/>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7ECFC2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507C73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824819A">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7691530">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0893B33">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C44BEA2">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50BBC2A">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56B8FC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5987EE6">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9FD442C">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445A150F">
            <w:pPr>
              <w:widowControl/>
              <w:spacing w:line="580" w:lineRule="exact"/>
              <w:jc w:val="left"/>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24709E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3FE9375">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B7DC2C4">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3DAA622">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24D80E6">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5049C4D">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EE0C73F">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r>
      <w:tr w14:paraId="5843C0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9FF6887">
            <w:pPr>
              <w:spacing w:line="580" w:lineRule="exact"/>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30F8FD1">
            <w:pPr>
              <w:widowControl/>
              <w:spacing w:line="580" w:lineRule="exact"/>
              <w:jc w:val="left"/>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3CDA13CC">
            <w:pPr>
              <w:widowControl/>
              <w:spacing w:line="580" w:lineRule="exact"/>
              <w:jc w:val="left"/>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CAE9E35">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11FC2F1">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0E9B59E">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75B920F">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7AFFB5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B588456">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99C1CBF">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0F3E4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65544D4">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AE936CB">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08C17074">
            <w:pPr>
              <w:widowControl/>
              <w:spacing w:line="580" w:lineRule="exact"/>
              <w:jc w:val="left"/>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A6B048E">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0BAA522">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F68698E">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AF3303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CF0B118">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B5AD7CF">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DDCEAA2">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33EC2F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991D92D">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2050402">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37FE7276">
            <w:pPr>
              <w:widowControl/>
              <w:spacing w:line="580" w:lineRule="exact"/>
              <w:jc w:val="left"/>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D25F415">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EA098F5">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D6BD65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49E0268">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1A9B64A">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8A71CD0">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086703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51ACD4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F48F2F">
            <w:pPr>
              <w:spacing w:line="580" w:lineRule="exact"/>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2B6EBB5">
            <w:pPr>
              <w:widowControl/>
              <w:spacing w:line="580" w:lineRule="exact"/>
              <w:jc w:val="left"/>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0202AEE9">
            <w:pPr>
              <w:widowControl/>
              <w:spacing w:line="580" w:lineRule="exact"/>
              <w:jc w:val="left"/>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73C342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908176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2B21FA5">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88F4AD6">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28A0008">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50BB283">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B50E81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683B93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316A391">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4703F6D">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36C1BEA6">
            <w:pPr>
              <w:widowControl/>
              <w:spacing w:line="580" w:lineRule="exact"/>
              <w:jc w:val="left"/>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82815CA">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D46FE82">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7D425B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FEA6E5A">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14AD30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E2304F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146E4B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531AA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B59ADAF">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CB13B8A">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42D57EA3">
            <w:pPr>
              <w:widowControl/>
              <w:spacing w:line="580" w:lineRule="exact"/>
              <w:jc w:val="left"/>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32D0214">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47A9A36">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886DE5F">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9B2D04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BB6CD90">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DEAB173">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2306CA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538B4E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BA65A19">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FAA889A">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45901766">
            <w:pPr>
              <w:widowControl/>
              <w:spacing w:line="580" w:lineRule="exact"/>
              <w:jc w:val="left"/>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FB0E2AB">
            <w:pPr>
              <w:widowControl/>
              <w:spacing w:line="580" w:lineRule="exact"/>
              <w:jc w:val="cente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DAF237A">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2C0E5B7">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38D541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7ED505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4CD803F">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02A40E5">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0DDEF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7488FBC">
            <w:pPr>
              <w:spacing w:line="58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68C3AFE">
            <w:pPr>
              <w:spacing w:line="580" w:lineRule="exact"/>
              <w:rPr>
                <w:rFonts w:ascii="宋体"/>
                <w:sz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14:paraId="39190B2F">
            <w:pPr>
              <w:widowControl/>
              <w:spacing w:line="580" w:lineRule="exact"/>
            </w:pPr>
            <w:r>
              <w:rPr>
                <w:rFonts w:hint="eastAsia" w:ascii="宋体" w:hAnsi="宋体" w:eastAsia="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086A1C72">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089096E2">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37D2EC50">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3AC5767A">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32B071A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4BDBF50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1FB6B29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52B3E0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595472">
            <w:pPr>
              <w:spacing w:line="580" w:lineRule="exact"/>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2A252846">
            <w:pPr>
              <w:widowControl/>
              <w:spacing w:line="580" w:lineRule="exact"/>
              <w:jc w:val="left"/>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3ECA078E">
            <w:pPr>
              <w:widowControl/>
              <w:spacing w:line="580" w:lineRule="exact"/>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52674C">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1A8272">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CA5763">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FA8D5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32659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5E0BE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D57068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173BF5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D2D6510">
            <w:pPr>
              <w:spacing w:line="580" w:lineRule="exact"/>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5B4F006">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0DE698E2">
            <w:pPr>
              <w:widowControl/>
              <w:spacing w:line="580" w:lineRule="exact"/>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C72AF1">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C2DD3D">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6DAFA2">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0235F4">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3C4616">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C6C107">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5A8058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r>
      <w:tr w14:paraId="179598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2B18573">
            <w:pPr>
              <w:spacing w:line="580" w:lineRule="exact"/>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351C8C2F">
            <w:pPr>
              <w:spacing w:line="580" w:lineRule="exact"/>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5BB2B9B0">
            <w:pPr>
              <w:widowControl/>
              <w:spacing w:line="580" w:lineRule="exact"/>
              <w:jc w:val="left"/>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2C3A54">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5AD535">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6FB0CC">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89346A">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2DB5AF">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6978BD">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DC68D3F">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r>
      <w:tr w14:paraId="634F93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540B05">
            <w:pPr>
              <w:spacing w:line="580" w:lineRule="exact"/>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A50617F">
            <w:pPr>
              <w:widowControl/>
              <w:spacing w:line="580" w:lineRule="exact"/>
              <w:jc w:val="left"/>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92BE64">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DE8C13">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38BDBA">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C45569">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46A3CD">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9FA2DE">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2062D4E">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r>
      <w:tr w14:paraId="04FE1A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602549F">
            <w:pPr>
              <w:widowControl/>
              <w:spacing w:line="580" w:lineRule="exact"/>
              <w:jc w:val="left"/>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EDA794">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062937">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FAAE29">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67AC6E">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797388F">
            <w:pPr>
              <w:widowControl/>
              <w:spacing w:line="580" w:lineRule="exact"/>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850EEB">
            <w:pPr>
              <w:widowControl/>
              <w:spacing w:line="580" w:lineRule="exact"/>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5A38810">
            <w:pPr>
              <w:spacing w:line="580" w:lineRule="exact"/>
              <w:rPr>
                <w:rFonts w:hint="eastAsia" w:ascii="宋体" w:eastAsiaTheme="minorEastAsia"/>
                <w:sz w:val="24"/>
                <w:lang w:eastAsia="zh-CN"/>
              </w:rPr>
            </w:pPr>
            <w:r>
              <w:rPr>
                <w:rFonts w:hint="eastAsia" w:ascii="宋体"/>
                <w:sz w:val="24"/>
                <w:lang w:val="en-US" w:eastAsia="zh-CN"/>
              </w:rPr>
              <w:t>0</w:t>
            </w:r>
          </w:p>
        </w:tc>
      </w:tr>
    </w:tbl>
    <w:p w14:paraId="5CB9F107">
      <w:pPr>
        <w:pStyle w:val="4"/>
        <w:widowControl/>
        <w:shd w:val="clear" w:color="auto" w:fill="FFFFFF"/>
        <w:spacing w:beforeAutospacing="0" w:afterAutospacing="0" w:line="580" w:lineRule="exact"/>
        <w:ind w:firstLine="640" w:firstLineChars="200"/>
        <w:jc w:val="both"/>
        <w:rPr>
          <w:rFonts w:ascii="黑体" w:hAnsi="黑体" w:eastAsia="黑体" w:cs="宋体"/>
          <w:sz w:val="32"/>
          <w:szCs w:val="32"/>
        </w:rPr>
      </w:pPr>
      <w:r>
        <w:rPr>
          <w:rFonts w:hint="eastAsia" w:ascii="黑体" w:hAnsi="黑体" w:eastAsia="黑体" w:cs="宋体"/>
          <w:bCs/>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116EB8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8632A3">
            <w:pPr>
              <w:widowControl/>
              <w:spacing w:line="580" w:lineRule="exact"/>
              <w:jc w:val="cente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C5F2799">
            <w:pPr>
              <w:widowControl/>
              <w:spacing w:line="580" w:lineRule="exact"/>
              <w:jc w:val="center"/>
            </w:pPr>
            <w:r>
              <w:rPr>
                <w:rFonts w:hint="eastAsia" w:ascii="宋体" w:hAnsi="宋体" w:eastAsia="宋体" w:cs="宋体"/>
                <w:kern w:val="0"/>
                <w:sz w:val="20"/>
                <w:szCs w:val="20"/>
              </w:rPr>
              <w:t>行政诉讼</w:t>
            </w:r>
          </w:p>
        </w:tc>
      </w:tr>
      <w:tr w14:paraId="7F35D7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6EC135">
            <w:pPr>
              <w:widowControl/>
              <w:spacing w:line="580" w:lineRule="exact"/>
              <w:jc w:val="cente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33DCAB">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59731FB2">
            <w:pPr>
              <w:widowControl/>
              <w:spacing w:line="580" w:lineRule="exact"/>
              <w:jc w:val="center"/>
            </w:pP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875257">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其他</w:t>
            </w:r>
          </w:p>
          <w:p w14:paraId="41EF15F9">
            <w:pPr>
              <w:widowControl/>
              <w:spacing w:line="580" w:lineRule="exact"/>
              <w:jc w:val="center"/>
            </w:pP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BB1F75">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尚未</w:t>
            </w:r>
          </w:p>
          <w:p w14:paraId="6066C709">
            <w:pPr>
              <w:widowControl/>
              <w:spacing w:line="580" w:lineRule="exact"/>
              <w:jc w:val="center"/>
            </w:pP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FC11A0">
            <w:pPr>
              <w:widowControl/>
              <w:spacing w:line="580" w:lineRule="exact"/>
              <w:jc w:val="cente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5D289B">
            <w:pPr>
              <w:widowControl/>
              <w:spacing w:line="580" w:lineRule="exact"/>
              <w:jc w:val="cente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1C1D3D">
            <w:pPr>
              <w:widowControl/>
              <w:spacing w:line="580" w:lineRule="exact"/>
              <w:jc w:val="center"/>
            </w:pPr>
            <w:r>
              <w:rPr>
                <w:rFonts w:hint="eastAsia" w:ascii="宋体" w:hAnsi="宋体" w:eastAsia="宋体" w:cs="宋体"/>
                <w:kern w:val="0"/>
                <w:sz w:val="20"/>
                <w:szCs w:val="20"/>
              </w:rPr>
              <w:t>复议后起诉</w:t>
            </w:r>
          </w:p>
        </w:tc>
      </w:tr>
      <w:tr w14:paraId="4F7C23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EF7EE6">
            <w:pPr>
              <w:spacing w:line="580" w:lineRule="exact"/>
              <w:rPr>
                <w:rFonts w:ascii="宋体"/>
                <w:sz w:val="24"/>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9FDF77">
            <w:pPr>
              <w:spacing w:line="580" w:lineRule="exact"/>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4B2354E">
            <w:pPr>
              <w:spacing w:line="580" w:lineRule="exact"/>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236730C">
            <w:pPr>
              <w:spacing w:line="580" w:lineRule="exact"/>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412F9AF">
            <w:pPr>
              <w:spacing w:line="580" w:lineRule="exact"/>
              <w:rPr>
                <w:rFonts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C776D7">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2EE9D182">
            <w:pPr>
              <w:widowControl/>
              <w:spacing w:line="580" w:lineRule="exact"/>
              <w:jc w:val="center"/>
            </w:pP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CFC803">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657DA213">
            <w:pPr>
              <w:widowControl/>
              <w:spacing w:line="580" w:lineRule="exact"/>
              <w:jc w:val="center"/>
            </w:pP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02EA28F">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其他</w:t>
            </w:r>
          </w:p>
          <w:p w14:paraId="0268DD7F">
            <w:pPr>
              <w:widowControl/>
              <w:spacing w:line="580" w:lineRule="exact"/>
              <w:jc w:val="center"/>
            </w:pP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55ACC1">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尚未</w:t>
            </w:r>
          </w:p>
          <w:p w14:paraId="21D88301">
            <w:pPr>
              <w:widowControl/>
              <w:spacing w:line="580" w:lineRule="exact"/>
              <w:jc w:val="center"/>
            </w:pP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07F1964">
            <w:pPr>
              <w:widowControl/>
              <w:spacing w:line="580" w:lineRule="exact"/>
              <w:jc w:val="center"/>
            </w:pPr>
            <w:r>
              <w:rPr>
                <w:rFonts w:hint="eastAsia" w:ascii="宋体" w:hAnsi="宋体" w:eastAsia="宋体" w:cs="宋体"/>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335B759">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3C9E4031">
            <w:pPr>
              <w:widowControl/>
              <w:spacing w:line="580" w:lineRule="exact"/>
              <w:jc w:val="center"/>
            </w:pP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3CCB552">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70E68D5D">
            <w:pPr>
              <w:widowControl/>
              <w:spacing w:line="580" w:lineRule="exact"/>
              <w:jc w:val="center"/>
            </w:pP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8393F8">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其他</w:t>
            </w:r>
          </w:p>
          <w:p w14:paraId="36F0DC31">
            <w:pPr>
              <w:widowControl/>
              <w:spacing w:line="580" w:lineRule="exact"/>
              <w:jc w:val="center"/>
            </w:pP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04316BC">
            <w:pPr>
              <w:widowControl/>
              <w:spacing w:line="58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尚未</w:t>
            </w:r>
          </w:p>
          <w:p w14:paraId="483404A3">
            <w:pPr>
              <w:widowControl/>
              <w:spacing w:line="580" w:lineRule="exact"/>
              <w:jc w:val="center"/>
            </w:pP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68C47E7">
            <w:pPr>
              <w:widowControl/>
              <w:spacing w:line="580" w:lineRule="exact"/>
              <w:jc w:val="center"/>
            </w:pPr>
            <w:r>
              <w:rPr>
                <w:rFonts w:hint="eastAsia" w:ascii="宋体" w:hAnsi="宋体" w:eastAsia="宋体" w:cs="宋体"/>
                <w:kern w:val="0"/>
                <w:sz w:val="20"/>
                <w:szCs w:val="20"/>
              </w:rPr>
              <w:t>总计</w:t>
            </w:r>
          </w:p>
        </w:tc>
      </w:tr>
      <w:tr w14:paraId="026508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7CA1CE">
            <w:pPr>
              <w:widowControl/>
              <w:spacing w:line="580" w:lineRule="exact"/>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E70FD5">
            <w:pPr>
              <w:widowControl/>
              <w:spacing w:line="580" w:lineRule="exact"/>
              <w:jc w:val="center"/>
            </w:pPr>
            <w:r>
              <w:rPr>
                <w:rFonts w:hint="eastAsia" w:ascii="黑体" w:hAnsi="宋体" w:eastAsia="黑体" w:cs="黑体"/>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E4AEDF">
            <w:pPr>
              <w:widowControl/>
              <w:spacing w:line="580" w:lineRule="exact"/>
              <w:jc w:val="center"/>
            </w:pPr>
            <w:r>
              <w:rPr>
                <w:rFonts w:hint="eastAsia" w:ascii="黑体" w:hAnsi="宋体" w:eastAsia="黑体" w:cs="黑体"/>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07BBB1">
            <w:pPr>
              <w:widowControl/>
              <w:spacing w:line="580" w:lineRule="exact"/>
              <w:jc w:val="center"/>
            </w:pPr>
            <w:r>
              <w:rPr>
                <w:rFonts w:hint="eastAsia" w:ascii="黑体" w:hAnsi="宋体" w:eastAsia="黑体" w:cs="黑体"/>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08D54A">
            <w:pPr>
              <w:widowControl/>
              <w:spacing w:line="580" w:lineRule="exact"/>
              <w:jc w:val="center"/>
            </w:pPr>
            <w:r>
              <w:rPr>
                <w:rFonts w:hint="eastAsia" w:ascii="黑体" w:hAnsi="宋体" w:eastAsia="黑体" w:cs="黑体"/>
                <w:kern w:val="0"/>
                <w:sz w:val="20"/>
                <w:szCs w:val="20"/>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A1794E">
            <w:pPr>
              <w:widowControl/>
              <w:spacing w:line="580" w:lineRule="exact"/>
              <w:jc w:val="center"/>
            </w:pPr>
            <w:r>
              <w:rPr>
                <w:rFonts w:hint="eastAsia" w:ascii="黑体" w:hAnsi="宋体" w:eastAsia="黑体" w:cs="黑体"/>
                <w:kern w:val="0"/>
                <w:sz w:val="20"/>
                <w:szCs w:val="20"/>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20E434">
            <w:pPr>
              <w:widowControl/>
              <w:spacing w:line="580" w:lineRule="exact"/>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FA446A">
            <w:pPr>
              <w:widowControl/>
              <w:spacing w:line="580" w:lineRule="exact"/>
              <w:jc w:val="center"/>
            </w:pPr>
            <w:r>
              <w:rPr>
                <w:rFonts w:hint="eastAsia" w:ascii="黑体" w:hAnsi="宋体" w:eastAsia="黑体" w:cs="黑体"/>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093C02">
            <w:pPr>
              <w:widowControl/>
              <w:spacing w:line="580" w:lineRule="exact"/>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22073E">
            <w:pPr>
              <w:widowControl/>
              <w:spacing w:line="580" w:lineRule="exact"/>
              <w:jc w:val="center"/>
            </w:pPr>
            <w:r>
              <w:rPr>
                <w:rFonts w:hint="eastAsia" w:ascii="黑体" w:hAnsi="宋体" w:eastAsia="黑体" w:cs="黑体"/>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2C2C40">
            <w:pPr>
              <w:widowControl/>
              <w:spacing w:line="580" w:lineRule="exact"/>
              <w:jc w:val="center"/>
            </w:pPr>
            <w:r>
              <w:rPr>
                <w:rFonts w:hint="eastAsia" w:ascii="黑体" w:hAnsi="宋体" w:eastAsia="黑体" w:cs="黑体"/>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B3C661">
            <w:pPr>
              <w:widowControl/>
              <w:spacing w:line="580" w:lineRule="exact"/>
              <w:jc w:val="center"/>
            </w:pPr>
            <w:r>
              <w:rPr>
                <w:rFonts w:hint="eastAsia" w:ascii="黑体" w:hAnsi="宋体" w:eastAsia="黑体" w:cs="黑体"/>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69152B">
            <w:pPr>
              <w:widowControl/>
              <w:spacing w:line="580" w:lineRule="exact"/>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EB8A7D">
            <w:pPr>
              <w:widowControl/>
              <w:spacing w:line="580" w:lineRule="exact"/>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E12F95">
            <w:pPr>
              <w:spacing w:line="580" w:lineRule="exact"/>
              <w:rPr>
                <w:rFonts w:ascii="宋体"/>
                <w:sz w:val="24"/>
              </w:rPr>
            </w:pPr>
            <w:r>
              <w:rPr>
                <w:rFonts w:hint="eastAsia" w:ascii="宋体"/>
                <w:sz w:val="24"/>
              </w:rPr>
              <w:t>0</w:t>
            </w:r>
          </w:p>
        </w:tc>
      </w:tr>
    </w:tbl>
    <w:p w14:paraId="4D97DB2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黑体" w:hAnsi="黑体" w:eastAsia="黑体" w:cs="宋体"/>
          <w:bCs/>
          <w:sz w:val="32"/>
          <w:szCs w:val="32"/>
          <w:shd w:val="clear" w:color="auto" w:fill="FFFFFF"/>
        </w:rPr>
      </w:pPr>
      <w:r>
        <w:rPr>
          <w:rFonts w:hint="eastAsia" w:ascii="黑体" w:hAnsi="黑体" w:eastAsia="黑体" w:cs="宋体"/>
          <w:bCs/>
          <w:sz w:val="32"/>
          <w:szCs w:val="32"/>
          <w:shd w:val="clear" w:color="auto" w:fill="FFFFFF"/>
        </w:rPr>
        <w:t>五、存在的主要问题及改进情况</w:t>
      </w:r>
    </w:p>
    <w:p w14:paraId="5337B89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政务公开工作取得了一定成绩，但与政府信息公开工作要求和公众期待仍存在一定差距，主要表现在：</w:t>
      </w:r>
      <w:r>
        <w:rPr>
          <w:rFonts w:hint="eastAsia" w:ascii="仿宋_GB2312" w:hAnsi="仿宋_GB2312" w:eastAsia="仿宋_GB2312" w:cs="仿宋_GB2312"/>
          <w:b/>
          <w:sz w:val="32"/>
          <w:szCs w:val="32"/>
        </w:rPr>
        <w:t>一是</w:t>
      </w:r>
      <w:r>
        <w:rPr>
          <w:rFonts w:hint="eastAsia" w:ascii="仿宋_GB2312" w:hAnsi="仿宋_GB2312" w:eastAsia="仿宋_GB2312" w:cs="仿宋_GB2312"/>
          <w:spacing w:val="6"/>
          <w:sz w:val="32"/>
          <w:szCs w:val="32"/>
          <w:shd w:val="clear" w:color="auto" w:fill="FFFFFF"/>
        </w:rPr>
        <w:t>政府信息公开创新力度不强</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政务公开信息质量不高。存在业务数据多、解读信息少、解读深度不够等现象。</w:t>
      </w:r>
      <w:r>
        <w:rPr>
          <w:rFonts w:hint="eastAsia" w:ascii="仿宋_GB2312" w:hAnsi="仿宋_GB2312" w:eastAsia="仿宋_GB2312" w:cs="仿宋_GB2312"/>
          <w:sz w:val="32"/>
          <w:szCs w:val="32"/>
          <w:shd w:val="clear" w:color="auto" w:fill="FFFFFF"/>
        </w:rPr>
        <w:t>针对上述问题，我局严格按照政府信息公开工作的要求，结合工作实际，重点实施了三项改进措施。</w:t>
      </w:r>
      <w:r>
        <w:rPr>
          <w:rFonts w:hint="eastAsia" w:ascii="仿宋_GB2312" w:hAnsi="仿宋_GB2312" w:eastAsia="仿宋_GB2312" w:cs="仿宋_GB2312"/>
          <w:b/>
          <w:sz w:val="32"/>
          <w:szCs w:val="32"/>
          <w:shd w:val="clear" w:color="auto" w:fill="FFFFFF"/>
        </w:rPr>
        <w:t>一是</w:t>
      </w:r>
      <w:r>
        <w:rPr>
          <w:rFonts w:hint="eastAsia" w:ascii="仿宋_GB2312" w:hAnsi="仿宋_GB2312" w:eastAsia="仿宋_GB2312" w:cs="仿宋_GB2312"/>
          <w:sz w:val="32"/>
          <w:szCs w:val="32"/>
          <w:shd w:val="clear" w:color="auto" w:fill="FFFFFF"/>
        </w:rPr>
        <w:t>健全和完善了各项政务信息公开制度，形成长效工作机制，加强人员的业务培训，确保了政务信息公开工作人员到位、责任到位，不断夯实信息公开工作基础。</w:t>
      </w:r>
      <w:r>
        <w:rPr>
          <w:rFonts w:hint="eastAsia" w:ascii="仿宋_GB2312" w:hAnsi="仿宋_GB2312" w:eastAsia="仿宋_GB2312" w:cs="仿宋_GB2312"/>
          <w:b/>
          <w:sz w:val="32"/>
          <w:szCs w:val="32"/>
          <w:shd w:val="clear" w:color="auto" w:fill="FFFFFF"/>
        </w:rPr>
        <w:t>二是</w:t>
      </w:r>
      <w:r>
        <w:rPr>
          <w:rFonts w:hint="eastAsia" w:ascii="仿宋_GB2312" w:hAnsi="仿宋_GB2312" w:eastAsia="仿宋_GB2312" w:cs="仿宋_GB2312"/>
          <w:sz w:val="32"/>
          <w:szCs w:val="32"/>
          <w:shd w:val="clear" w:color="auto" w:fill="FFFFFF"/>
        </w:rPr>
        <w:t>充分发挥新媒体在政府信息公开中的作用，让更多群众了解支持人社工作。</w:t>
      </w:r>
      <w:r>
        <w:rPr>
          <w:rFonts w:hint="eastAsia" w:ascii="仿宋_GB2312" w:hAnsi="仿宋_GB2312" w:eastAsia="仿宋_GB2312" w:cs="仿宋_GB2312"/>
          <w:b/>
          <w:sz w:val="32"/>
          <w:szCs w:val="32"/>
          <w:shd w:val="clear" w:color="auto" w:fill="FFFFFF"/>
        </w:rPr>
        <w:t>三是</w:t>
      </w:r>
      <w:r>
        <w:rPr>
          <w:rFonts w:hint="eastAsia" w:ascii="仿宋_GB2312" w:hAnsi="仿宋_GB2312" w:eastAsia="仿宋_GB2312" w:cs="仿宋_GB2312"/>
          <w:sz w:val="32"/>
          <w:szCs w:val="32"/>
          <w:shd w:val="clear" w:color="auto" w:fill="FFFFFF"/>
        </w:rPr>
        <w:t>全力推进人社系统信息化工作，加强电子政务建设，优化政务信息公开渠道，丰富公开形式，深化公开内容，加大公开力度，有效推进了政府信息公开工作全面开展。</w:t>
      </w:r>
    </w:p>
    <w:p w14:paraId="0F3E6ED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黑体" w:hAnsi="黑体" w:eastAsia="黑体" w:cs="宋体"/>
          <w:sz w:val="32"/>
          <w:szCs w:val="32"/>
        </w:rPr>
      </w:pPr>
      <w:r>
        <w:rPr>
          <w:rFonts w:hint="eastAsia" w:ascii="黑体" w:hAnsi="黑体" w:eastAsia="黑体" w:cs="宋体"/>
          <w:bCs/>
          <w:sz w:val="32"/>
          <w:szCs w:val="32"/>
          <w:shd w:val="clear" w:color="auto" w:fill="FFFFFF"/>
        </w:rPr>
        <w:t>六、其他需要报告的事项</w:t>
      </w:r>
    </w:p>
    <w:p w14:paraId="325C9A7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本年度我单位未发出政府信息处理费收费通知书，不存在收取信息处理费的情况</w:t>
      </w:r>
      <w:r>
        <w:rPr>
          <w:rFonts w:hint="eastAsia" w:ascii="仿宋_GB2312" w:hAnsi="仿宋_GB2312" w:eastAsia="仿宋_GB2312" w:cs="仿宋_GB2312"/>
          <w:sz w:val="32"/>
          <w:szCs w:val="32"/>
          <w:shd w:val="clear" w:color="auto" w:fill="FFFFFF"/>
          <w:lang w:eastAsia="zh-CN"/>
        </w:rPr>
        <w:t>。</w:t>
      </w:r>
    </w:p>
    <w:p w14:paraId="5CF1B766">
      <w:pPr>
        <w:pStyle w:val="4"/>
        <w:widowControl/>
        <w:shd w:val="clear" w:color="auto" w:fill="FFFFFF"/>
        <w:spacing w:beforeAutospacing="0" w:afterAutospacing="0" w:line="600" w:lineRule="exact"/>
        <w:ind w:firstLine="4960" w:firstLineChars="1550"/>
        <w:rPr>
          <w:rFonts w:hint="eastAsia" w:ascii="仿宋" w:hAnsi="仿宋" w:eastAsia="仿宋" w:cs="宋体"/>
          <w:sz w:val="32"/>
          <w:szCs w:val="32"/>
          <w:shd w:val="clear" w:color="auto" w:fill="FFFFFF"/>
        </w:rPr>
      </w:pPr>
    </w:p>
    <w:p w14:paraId="557ABE00">
      <w:pPr>
        <w:pStyle w:val="4"/>
        <w:widowControl/>
        <w:shd w:val="clear" w:color="auto" w:fill="FFFFFF"/>
        <w:spacing w:beforeAutospacing="0" w:afterAutospacing="0" w:line="600" w:lineRule="exact"/>
        <w:ind w:firstLine="4960" w:firstLineChars="1550"/>
        <w:rPr>
          <w:rFonts w:hint="eastAsia" w:ascii="仿宋" w:hAnsi="仿宋" w:eastAsia="仿宋" w:cs="宋体"/>
          <w:sz w:val="32"/>
          <w:szCs w:val="32"/>
          <w:shd w:val="clear" w:color="auto" w:fill="FFFFFF"/>
        </w:rPr>
      </w:pPr>
    </w:p>
    <w:p w14:paraId="56D146FC">
      <w:pPr>
        <w:pStyle w:val="4"/>
        <w:widowControl/>
        <w:shd w:val="clear" w:color="auto" w:fill="FFFFFF"/>
        <w:spacing w:beforeAutospacing="0" w:afterAutospacing="0" w:line="600" w:lineRule="exact"/>
        <w:rPr>
          <w:rFonts w:hint="eastAsia" w:ascii="仿宋" w:hAnsi="仿宋" w:eastAsia="仿宋" w:cs="宋体"/>
          <w:sz w:val="32"/>
          <w:szCs w:val="32"/>
          <w:shd w:val="clear" w:color="auto" w:fill="FFFFFF"/>
          <w:lang w:val="en-US" w:eastAsia="zh-CN"/>
        </w:rPr>
      </w:pPr>
    </w:p>
    <w:p w14:paraId="30BBC79A">
      <w:pPr>
        <w:pStyle w:val="4"/>
        <w:widowControl/>
        <w:shd w:val="clear" w:color="auto" w:fill="FFFFFF"/>
        <w:spacing w:beforeAutospacing="0" w:afterAutospacing="0" w:line="600" w:lineRule="exact"/>
        <w:rPr>
          <w:rFonts w:hint="eastAsia" w:ascii="仿宋" w:hAnsi="仿宋" w:eastAsia="仿宋" w:cs="宋体"/>
          <w:sz w:val="32"/>
          <w:szCs w:val="32"/>
          <w:shd w:val="clear" w:color="auto" w:fill="FFFFFF"/>
          <w:lang w:val="en-US" w:eastAsia="zh-CN"/>
        </w:rPr>
      </w:pPr>
    </w:p>
    <w:p w14:paraId="082C1F92">
      <w:pPr>
        <w:pStyle w:val="4"/>
        <w:widowControl/>
        <w:shd w:val="clear" w:color="auto" w:fill="FFFFFF"/>
        <w:spacing w:beforeAutospacing="0" w:afterAutospacing="0" w:line="600" w:lineRule="exact"/>
        <w:ind w:firstLine="4960" w:firstLineChars="1550"/>
        <w:rPr>
          <w:rFonts w:hint="eastAsia" w:ascii="仿宋_GB2312" w:hAnsi="仿宋_GB2312" w:eastAsia="仿宋_GB2312" w:cs="仿宋_GB2312"/>
          <w:sz w:val="32"/>
          <w:szCs w:val="32"/>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117672"/>
      <w:docPartObj>
        <w:docPartGallery w:val="autotext"/>
      </w:docPartObj>
    </w:sdtPr>
    <w:sdtContent>
      <w:p w14:paraId="35B0A636">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2C56CF4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GIyMzk1OThhYzc2YjVhODJjZTU3YzNlNDUwODEifQ=="/>
  </w:docVars>
  <w:rsids>
    <w:rsidRoot w:val="37A11E00"/>
    <w:rsid w:val="000E5AF4"/>
    <w:rsid w:val="00110FB8"/>
    <w:rsid w:val="001F41E7"/>
    <w:rsid w:val="00406210"/>
    <w:rsid w:val="00456054"/>
    <w:rsid w:val="004723E7"/>
    <w:rsid w:val="004F000A"/>
    <w:rsid w:val="005C04D5"/>
    <w:rsid w:val="007001C3"/>
    <w:rsid w:val="007B6D78"/>
    <w:rsid w:val="007F6C46"/>
    <w:rsid w:val="00826A5E"/>
    <w:rsid w:val="00890B36"/>
    <w:rsid w:val="009B7F94"/>
    <w:rsid w:val="00C544A0"/>
    <w:rsid w:val="00D439EA"/>
    <w:rsid w:val="00D5697F"/>
    <w:rsid w:val="00EB619D"/>
    <w:rsid w:val="00F477FB"/>
    <w:rsid w:val="26D530AB"/>
    <w:rsid w:val="2C156FDF"/>
    <w:rsid w:val="31E05D4A"/>
    <w:rsid w:val="37A11E00"/>
    <w:rsid w:val="446F1F27"/>
    <w:rsid w:val="49877D6A"/>
    <w:rsid w:val="52F00C0A"/>
    <w:rsid w:val="62B9483E"/>
    <w:rsid w:val="DDFB5E01"/>
    <w:rsid w:val="FEFB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973</Words>
  <Characters>998</Characters>
  <Lines>18</Lines>
  <Paragraphs>5</Paragraphs>
  <TotalTime>27</TotalTime>
  <ScaleCrop>false</ScaleCrop>
  <LinksUpToDate>false</LinksUpToDate>
  <CharactersWithSpaces>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2023-01-16T19:20:00Z</dcterms:created>
  <dc:creator>Administrator</dc:creator>
  <cp:lastModifiedBy>孩儿他爹</cp:lastModifiedBy>
  <cp:lastPrinted>2023-01-17T17:43:00Z</cp:lastPrinted>
  <dcterms:modified xsi:type="dcterms:W3CDTF">2025-01-10T08:32:58Z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16CF958D8DED4C3188ACC96820E0719B_13</vt:lpwstr>
  </property>
  <property fmtid="{D5CDD505-2E9C-101B-9397-08002B2CF9AE}" pid="4" name="KSOTemplateDocerSaveRecord">
    <vt:lpwstr>eyJoZGlkIjoiYzE0NGIyMzk1OThhYzc2YjVhODJjZTU3YzNlNDUwODEiLCJ1c2VySWQiOiI5MTQxMjIzMzEifQ==</vt:lpwstr>
  </property>
</Properties>
</file>