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35F162">
      <w:pPr>
        <w:jc w:val="center"/>
        <w:rPr>
          <w:rFonts w:hint="default" w:ascii="仿宋" w:hAnsi="仿宋" w:eastAsia="仿宋" w:cs="仿宋_GB2312"/>
          <w:sz w:val="32"/>
          <w:szCs w:val="32"/>
          <w:lang w:val="en-US"/>
        </w:rPr>
      </w:pPr>
      <w:r>
        <w:rPr>
          <w:rFonts w:hint="eastAsia" w:ascii="方正小标宋简体" w:hAnsi="仿宋" w:eastAsia="方正小标宋简体" w:cs="方正小标宋简体"/>
          <w:color w:val="FF0000"/>
          <w:spacing w:val="1"/>
          <w:w w:val="37"/>
          <w:kern w:val="0"/>
          <w:sz w:val="116"/>
          <w:szCs w:val="116"/>
          <w:fitText w:val="9174" w:id="871267886"/>
        </w:rPr>
        <w:t>中共</w:t>
      </w:r>
      <w:r>
        <w:rPr>
          <w:rFonts w:hint="eastAsia" w:ascii="方正小标宋简体" w:hAnsi="仿宋" w:eastAsia="方正小标宋简体" w:cs="方正小标宋简体"/>
          <w:color w:val="FF0000"/>
          <w:spacing w:val="1"/>
          <w:w w:val="37"/>
          <w:kern w:val="0"/>
          <w:sz w:val="116"/>
          <w:szCs w:val="116"/>
          <w:fitText w:val="9174" w:id="871267886"/>
          <w:lang w:val="en-US" w:eastAsia="zh-CN"/>
        </w:rPr>
        <w:t>保定</w:t>
      </w:r>
      <w:r>
        <w:rPr>
          <w:rFonts w:hint="eastAsia" w:ascii="方正小标宋简体" w:hAnsi="仿宋" w:eastAsia="方正小标宋简体" w:cs="方正小标宋简体"/>
          <w:color w:val="FF0000"/>
          <w:spacing w:val="1"/>
          <w:w w:val="37"/>
          <w:kern w:val="0"/>
          <w:sz w:val="116"/>
          <w:szCs w:val="116"/>
          <w:fitText w:val="9174" w:id="871267886"/>
        </w:rPr>
        <w:t>白沟新城农村工作领导小组</w:t>
      </w:r>
      <w:r>
        <w:rPr>
          <w:rFonts w:hint="eastAsia" w:ascii="方正小标宋简体" w:hAnsi="仿宋" w:eastAsia="方正小标宋简体" w:cs="方正小标宋简体"/>
          <w:color w:val="FF0000"/>
          <w:spacing w:val="1"/>
          <w:w w:val="37"/>
          <w:kern w:val="0"/>
          <w:sz w:val="116"/>
          <w:szCs w:val="116"/>
          <w:fitText w:val="9174" w:id="871267886"/>
          <w:lang w:eastAsia="zh-CN"/>
        </w:rPr>
        <w:t>办公室</w:t>
      </w:r>
      <w:r>
        <w:rPr>
          <w:rFonts w:hint="eastAsia" w:ascii="方正小标宋简体" w:hAnsi="仿宋" w:eastAsia="方正小标宋简体" w:cs="方正小标宋简体"/>
          <w:color w:val="FF0000"/>
          <w:spacing w:val="1"/>
          <w:w w:val="37"/>
          <w:kern w:val="0"/>
          <w:sz w:val="116"/>
          <w:szCs w:val="116"/>
          <w:fitText w:val="9174" w:id="871267886"/>
          <w:lang w:val="en-US" w:eastAsia="zh-CN"/>
        </w:rPr>
        <w:t>文</w:t>
      </w:r>
      <w:r>
        <w:rPr>
          <w:rFonts w:hint="eastAsia" w:ascii="方正小标宋简体" w:hAnsi="仿宋" w:eastAsia="方正小标宋简体" w:cs="方正小标宋简体"/>
          <w:color w:val="FF0000"/>
          <w:spacing w:val="95"/>
          <w:w w:val="37"/>
          <w:kern w:val="0"/>
          <w:sz w:val="116"/>
          <w:szCs w:val="116"/>
          <w:fitText w:val="9174" w:id="871267886"/>
          <w:lang w:val="en-US" w:eastAsia="zh-CN"/>
        </w:rPr>
        <w:t>件</w:t>
      </w:r>
    </w:p>
    <w:p w14:paraId="5E941FB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w w:val="97"/>
          <w:sz w:val="44"/>
          <w:szCs w:val="44"/>
          <w:lang w:val="en-US" w:eastAsia="zh-CN"/>
        </w:rPr>
      </w:pPr>
      <w:r>
        <w:rPr>
          <w:rFonts w:hint="eastAsia" w:ascii="仿宋" w:hAnsi="仿宋" w:eastAsia="仿宋" w:cs="仿宋"/>
          <w:spacing w:val="4"/>
          <w:kern w:val="0"/>
          <w:sz w:val="32"/>
          <w:szCs w:val="32"/>
          <w:lang w:eastAsia="zh-CN"/>
        </w:rPr>
        <w:t>白农办〔202</w:t>
      </w:r>
      <w:r>
        <w:rPr>
          <w:rFonts w:hint="eastAsia" w:ascii="仿宋" w:hAnsi="仿宋" w:eastAsia="仿宋" w:cs="仿宋"/>
          <w:spacing w:val="4"/>
          <w:kern w:val="0"/>
          <w:sz w:val="32"/>
          <w:szCs w:val="32"/>
          <w:lang w:val="en-US" w:eastAsia="zh-CN"/>
        </w:rPr>
        <w:t>5</w:t>
      </w:r>
      <w:r>
        <w:rPr>
          <w:rFonts w:hint="eastAsia" w:ascii="仿宋" w:hAnsi="仿宋" w:eastAsia="仿宋" w:cs="仿宋"/>
          <w:spacing w:val="4"/>
          <w:kern w:val="0"/>
          <w:sz w:val="32"/>
          <w:szCs w:val="32"/>
          <w:lang w:eastAsia="zh-CN"/>
        </w:rPr>
        <w:t>〕</w:t>
      </w:r>
      <w:r>
        <w:rPr>
          <w:rFonts w:hint="eastAsia" w:ascii="仿宋" w:hAnsi="仿宋" w:eastAsia="仿宋" w:cs="仿宋"/>
          <w:spacing w:val="4"/>
          <w:kern w:val="0"/>
          <w:sz w:val="32"/>
          <w:szCs w:val="32"/>
          <w:lang w:val="en-US" w:eastAsia="zh-CN"/>
        </w:rPr>
        <w:t>6</w:t>
      </w:r>
      <w:r>
        <w:rPr>
          <w:rFonts w:hint="eastAsia" w:ascii="仿宋" w:hAnsi="仿宋" w:eastAsia="仿宋" w:cs="仿宋"/>
          <w:spacing w:val="4"/>
          <w:kern w:val="0"/>
          <w:sz w:val="32"/>
          <w:szCs w:val="32"/>
          <w:lang w:eastAsia="zh-CN"/>
        </w:rPr>
        <w:t>号</w:t>
      </w:r>
    </w:p>
    <w:p w14:paraId="6327B4FE">
      <w:pPr>
        <w:keepNext w:val="0"/>
        <w:keepLines w:val="0"/>
        <w:pageBreakBefore w:val="0"/>
        <w:widowControl w:val="0"/>
        <w:kinsoku/>
        <w:wordWrap/>
        <w:overflowPunct/>
        <w:topLinePunct w:val="0"/>
        <w:autoSpaceDE/>
        <w:autoSpaceDN/>
        <w:bidi w:val="0"/>
        <w:adjustRightInd/>
        <w:snapToGrid/>
        <w:spacing w:line="560" w:lineRule="exact"/>
        <w:ind w:firstLine="2320" w:firstLineChars="200"/>
        <w:textAlignment w:val="auto"/>
        <w:rPr>
          <w:rFonts w:hint="eastAsia" w:ascii="方正小标宋简体" w:hAnsi="方正小标宋简体" w:eastAsia="方正小标宋简体" w:cs="方正小标宋简体"/>
          <w:b w:val="0"/>
          <w:bCs w:val="0"/>
          <w:sz w:val="44"/>
          <w:szCs w:val="44"/>
          <w:lang w:val="en-US" w:eastAsia="zh-CN"/>
        </w:rPr>
      </w:pPr>
      <w:r>
        <w:rPr>
          <w:sz w:val="116"/>
        </w:rPr>
        <mc:AlternateContent>
          <mc:Choice Requires="wps">
            <w:drawing>
              <wp:anchor distT="0" distB="0" distL="114300" distR="114300" simplePos="0" relativeHeight="251659264" behindDoc="0" locked="0" layoutInCell="1" allowOverlap="1">
                <wp:simplePos x="0" y="0"/>
                <wp:positionH relativeFrom="column">
                  <wp:posOffset>38735</wp:posOffset>
                </wp:positionH>
                <wp:positionV relativeFrom="paragraph">
                  <wp:posOffset>85090</wp:posOffset>
                </wp:positionV>
                <wp:extent cx="5648325" cy="9525"/>
                <wp:effectExtent l="0" t="6350" r="9525" b="12700"/>
                <wp:wrapNone/>
                <wp:docPr id="1" name="直接连接符 1"/>
                <wp:cNvGraphicFramePr/>
                <a:graphic xmlns:a="http://schemas.openxmlformats.org/drawingml/2006/main">
                  <a:graphicData uri="http://schemas.microsoft.com/office/word/2010/wordprocessingShape">
                    <wps:wsp>
                      <wps:cNvCnPr/>
                      <wps:spPr>
                        <a:xfrm flipV="1">
                          <a:off x="1036955" y="3693160"/>
                          <a:ext cx="5648325" cy="9525"/>
                        </a:xfrm>
                        <a:prstGeom prst="line">
                          <a:avLst/>
                        </a:prstGeom>
                        <a:ln>
                          <a:solidFill>
                            <a:srgbClr val="FF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3.05pt;margin-top:6.7pt;height:0.75pt;width:444.75pt;z-index:251659264;mso-width-relative:page;mso-height-relative:page;" filled="f" stroked="t" coordsize="21600,21600" o:gfxdata="UEsDBAoAAAAAAIdO4kAAAAAAAAAAAAAAAAAEAAAAZHJzL1BLAwQUAAAACACHTuJAOOZV4dUAAAAH&#10;AQAADwAAAGRycy9kb3ducmV2LnhtbE2OO0/DMBSFdyT+g3WR2KhjGqI0xKkQUhceA2nZ3fiSRInt&#10;YLtN+PdcpjKeh875yu1iRnZGH3pnJYhVAgxt43RvWwmH/e4uBxaislqNzqKEHwywra6vSlVoN9sP&#10;PNexZTRiQ6EkdDFOBeeh6dCosHITWsq+nDcqkvQt117NNG5Gfp8kGTeqt/TQqQmfO2yG+mQk7NdP&#10;77V/exXzkLslfdkN4vvzIOXtjUgegUVc4qUMf/iEDhUxHd3J6sBGCZmgItnrFBjF+eYhA3YkI90A&#10;r0r+n7/6BVBLAwQUAAAACACHTuJAv7ffX/0BAADLAwAADgAAAGRycy9lMm9Eb2MueG1srVPNjtMw&#10;EL4j8Q6W7zRpS0s3arqHrcoFQSV+7lPHSSz5Tx5v074EL4DEDU4cue/bsDwG4yS7wHLZAzlY4/E3&#10;n+f7PFlfnoxmRxlQOVvy6STnTFrhKmWbkr9/t3u24gwj2Aq0s7LkZ4n8cvP0ybrzhZy51ulKBkYk&#10;FovOl7yN0RdZhqKVBnDivLR0WLtgINI2NFkVoCN2o7NZni+zzoXKByckImW3wyEfGcNjCF1dKyG3&#10;TlwbaePAGqSGSJKwVR75pu+2rqWIb+oaZWS65KQ09itdQvEhrdlmDUUTwLdKjC3AY1p4oMmAsnTp&#10;PdUWIrDroP6hMkoEh66OE+FMNgjpHSEV0/yBN29b8LLXQlajvzcd/x+teH3cB6YqmgTOLBh68NtP&#10;3398/PLz5jOtt9++smkyqfNYEPbK7sO4Q78PSfGpDobVWvkPiSNlSBU70SafLy8WC87OJadoPl2O&#10;dstTZIIAi+Xz1XxGAEGIiwVFRJ0NjInHB4wvpTMsBSXXyiYzoIDjK4wD9A6S0tbtlNaUh0Jb1lED&#10;sxc5vbMAmtKapoNC40kp2oYz0A2Nv4ihp0SnVZXKUzWG5nClAzsCDc1ul9M3dvYXLN29BWwHXH+U&#10;YFAYFekP0cqUfJWK76q1JXnJyMG6FB1cde4d7fP0xr0B4zymIfpz31f//gc3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45lXh1QAAAAcBAAAPAAAAAAAAAAEAIAAAACIAAABkcnMvZG93bnJldi54&#10;bWxQSwECFAAUAAAACACHTuJAv7ffX/0BAADLAwAADgAAAAAAAAABACAAAAAkAQAAZHJzL2Uyb0Rv&#10;Yy54bWxQSwUGAAAAAAYABgBZAQAAkwUAAAAA&#10;">
                <v:fill on="f" focussize="0,0"/>
                <v:stroke weight="1pt" color="#FF0000 [3204]" miterlimit="8" joinstyle="miter"/>
                <v:imagedata o:title=""/>
                <o:lock v:ext="edit" aspectratio="f"/>
              </v:line>
            </w:pict>
          </mc:Fallback>
        </mc:AlternateContent>
      </w:r>
    </w:p>
    <w:p w14:paraId="59B75D09">
      <w:pPr>
        <w:keepNext w:val="0"/>
        <w:keepLines w:val="0"/>
        <w:pageBreakBefore w:val="0"/>
        <w:kinsoku/>
        <w:wordWrap/>
        <w:overflowPunct/>
        <w:topLinePunct w:val="0"/>
        <w:autoSpaceDE/>
        <w:autoSpaceDN/>
        <w:bidi w:val="0"/>
        <w:adjustRightInd w:val="0"/>
        <w:snapToGrid w:val="0"/>
        <w:spacing w:line="560" w:lineRule="exact"/>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val="en-US" w:eastAsia="zh-CN"/>
        </w:rPr>
        <w:t>关于2021年财政衔接资金资产收益项目</w:t>
      </w:r>
      <w:r>
        <w:rPr>
          <w:rFonts w:hint="eastAsia" w:ascii="方正小标宋简体" w:hAnsi="方正小标宋简体" w:eastAsia="方正小标宋简体" w:cs="方正小标宋简体"/>
          <w:b w:val="0"/>
          <w:bCs w:val="0"/>
          <w:sz w:val="44"/>
          <w:szCs w:val="44"/>
        </w:rPr>
        <w:t>收益金分配</w:t>
      </w:r>
      <w:r>
        <w:rPr>
          <w:rFonts w:hint="eastAsia" w:ascii="方正小标宋简体" w:hAnsi="方正小标宋简体" w:eastAsia="方正小标宋简体" w:cs="方正小标宋简体"/>
          <w:b w:val="0"/>
          <w:bCs w:val="0"/>
          <w:sz w:val="44"/>
          <w:szCs w:val="44"/>
          <w:lang w:eastAsia="zh-CN"/>
        </w:rPr>
        <w:t>的</w:t>
      </w:r>
      <w:r>
        <w:rPr>
          <w:rFonts w:hint="eastAsia" w:ascii="方正小标宋简体" w:hAnsi="方正小标宋简体" w:eastAsia="方正小标宋简体" w:cs="方正小标宋简体"/>
          <w:b w:val="0"/>
          <w:bCs w:val="0"/>
          <w:sz w:val="44"/>
          <w:szCs w:val="44"/>
        </w:rPr>
        <w:t>方案</w:t>
      </w:r>
    </w:p>
    <w:p w14:paraId="79AD0400">
      <w:pPr>
        <w:keepNext w:val="0"/>
        <w:keepLines w:val="0"/>
        <w:pageBreakBefore w:val="0"/>
        <w:kinsoku/>
        <w:wordWrap/>
        <w:overflowPunct/>
        <w:topLinePunct w:val="0"/>
        <w:autoSpaceDE/>
        <w:autoSpaceDN/>
        <w:bidi w:val="0"/>
        <w:adjustRightInd w:val="0"/>
        <w:snapToGrid w:val="0"/>
        <w:spacing w:line="560" w:lineRule="exact"/>
        <w:ind w:firstLine="640" w:firstLineChars="200"/>
        <w:rPr>
          <w:rFonts w:ascii="黑体" w:hAnsi="黑体" w:eastAsia="黑体"/>
          <w:sz w:val="32"/>
          <w:szCs w:val="32"/>
        </w:rPr>
      </w:pPr>
    </w:p>
    <w:p w14:paraId="3FECF388">
      <w:pPr>
        <w:keepNext w:val="0"/>
        <w:keepLines w:val="0"/>
        <w:pageBreakBefore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按照省、市《财政衔接推进乡村振兴补助资金管理办法》文件要求，为实现</w:t>
      </w:r>
      <w:r>
        <w:rPr>
          <w:rFonts w:hint="eastAsia" w:ascii="仿宋_GB2312" w:hAnsi="仿宋_GB2312" w:eastAsia="仿宋_GB2312" w:cs="仿宋_GB2312"/>
          <w:spacing w:val="0"/>
          <w:sz w:val="32"/>
          <w:szCs w:val="32"/>
          <w:lang w:val="en-US" w:eastAsia="zh-CN"/>
        </w:rPr>
        <w:t>建档立卡脱贫人口和防贫监测对象</w:t>
      </w:r>
      <w:r>
        <w:rPr>
          <w:rFonts w:hint="eastAsia" w:ascii="仿宋_GB2312" w:hAnsi="仿宋_GB2312" w:eastAsia="仿宋_GB2312" w:cs="仿宋_GB2312"/>
          <w:sz w:val="32"/>
          <w:szCs w:val="32"/>
        </w:rPr>
        <w:t>稳定增收，</w:t>
      </w:r>
      <w:r>
        <w:rPr>
          <w:rFonts w:hint="eastAsia" w:ascii="仿宋_GB2312" w:hAnsi="仿宋_GB2312" w:eastAsia="仿宋_GB2312" w:cs="仿宋_GB2312"/>
          <w:sz w:val="32"/>
          <w:szCs w:val="32"/>
          <w:lang w:eastAsia="zh-CN"/>
        </w:rPr>
        <w:t>牢牢</w:t>
      </w:r>
      <w:r>
        <w:rPr>
          <w:rFonts w:hint="eastAsia" w:ascii="仿宋_GB2312" w:hAnsi="仿宋_GB2312" w:eastAsia="仿宋_GB2312" w:cs="仿宋_GB2312"/>
          <w:sz w:val="32"/>
          <w:szCs w:val="32"/>
        </w:rPr>
        <w:t>守住</w:t>
      </w:r>
      <w:r>
        <w:rPr>
          <w:rFonts w:hint="eastAsia" w:ascii="仿宋_GB2312" w:hAnsi="仿宋_GB2312" w:eastAsia="仿宋_GB2312" w:cs="仿宋_GB2312"/>
          <w:sz w:val="32"/>
          <w:szCs w:val="32"/>
          <w:lang w:val="en-US" w:eastAsia="zh-CN"/>
        </w:rPr>
        <w:t>不发生</w:t>
      </w:r>
      <w:r>
        <w:rPr>
          <w:rFonts w:hint="eastAsia" w:ascii="仿宋_GB2312" w:hAnsi="仿宋_GB2312" w:eastAsia="仿宋_GB2312" w:cs="仿宋_GB2312"/>
          <w:sz w:val="32"/>
          <w:szCs w:val="32"/>
        </w:rPr>
        <w:t>规模性返贫的底线，</w:t>
      </w:r>
      <w:r>
        <w:rPr>
          <w:rFonts w:hint="eastAsia" w:ascii="仿宋_GB2312" w:hAnsi="仿宋_GB2312" w:eastAsia="仿宋_GB2312" w:cs="仿宋_GB2312"/>
          <w:sz w:val="32"/>
          <w:szCs w:val="32"/>
          <w:lang w:eastAsia="zh-CN"/>
        </w:rPr>
        <w:t>现</w:t>
      </w:r>
      <w:r>
        <w:rPr>
          <w:rFonts w:hint="eastAsia" w:ascii="仿宋_GB2312" w:hAnsi="仿宋_GB2312" w:eastAsia="仿宋_GB2312" w:cs="仿宋_GB2312"/>
          <w:sz w:val="32"/>
          <w:szCs w:val="32"/>
        </w:rPr>
        <w:t>制定本方案。</w:t>
      </w:r>
    </w:p>
    <w:p w14:paraId="5F8F5602">
      <w:pPr>
        <w:keepNext w:val="0"/>
        <w:keepLines w:val="0"/>
        <w:pageBreakBefore w:val="0"/>
        <w:widowControl/>
        <w:suppressLineNumbers w:val="0"/>
        <w:kinsoku/>
        <w:wordWrap/>
        <w:overflowPunct/>
        <w:topLinePunct w:val="0"/>
        <w:autoSpaceDE/>
        <w:autoSpaceDN/>
        <w:bidi w:val="0"/>
        <w:adjustRightInd w:val="0"/>
        <w:snapToGrid w:val="0"/>
        <w:spacing w:line="540" w:lineRule="exact"/>
        <w:ind w:leftChars="0" w:firstLine="640" w:firstLineChars="200"/>
        <w:jc w:val="both"/>
        <w:textAlignment w:val="auto"/>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eastAsia="zh-CN"/>
        </w:rPr>
        <w:t>一、</w:t>
      </w:r>
      <w:r>
        <w:rPr>
          <w:rFonts w:hint="eastAsia" w:ascii="黑体" w:hAnsi="黑体" w:eastAsia="黑体" w:cs="黑体"/>
          <w:b w:val="0"/>
          <w:bCs w:val="0"/>
          <w:spacing w:val="0"/>
          <w:sz w:val="32"/>
          <w:szCs w:val="32"/>
          <w:lang w:val="en-US" w:eastAsia="zh-CN"/>
        </w:rPr>
        <w:t>资金来源</w:t>
      </w:r>
    </w:p>
    <w:p w14:paraId="2B36D8D2">
      <w:pPr>
        <w:keepNext w:val="0"/>
        <w:keepLines w:val="0"/>
        <w:pageBreakBefore w:val="0"/>
        <w:kinsoku/>
        <w:wordWrap/>
        <w:overflowPunct/>
        <w:topLinePunct w:val="0"/>
        <w:autoSpaceDE/>
        <w:autoSpaceDN/>
        <w:bidi w:val="0"/>
        <w:adjustRightInd w:val="0"/>
        <w:snapToGrid w:val="0"/>
        <w:spacing w:line="540" w:lineRule="exact"/>
        <w:ind w:leftChars="0"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我区2021年财政衔接资金共计831万元，其中用于实施资产收益项目830.7万元。项目合作企业为天翼红外科技有限公司。根据协议，项目实施周期为2025年5月29日至2028年5月28日，项目资产收益率5%，年收益金41.535万元，收益金每半年给付一次，直接拨付到白沟镇人民政府对公账户。</w:t>
      </w:r>
    </w:p>
    <w:p w14:paraId="643B5C1E">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仿宋_GB2312" w:eastAsia="仿宋_GB2312" w:cs="仿宋_GB2312"/>
          <w:color w:val="000000"/>
          <w:kern w:val="0"/>
          <w:sz w:val="32"/>
          <w:szCs w:val="32"/>
          <w:lang w:bidi="ar"/>
        </w:rPr>
      </w:pPr>
      <w:r>
        <w:rPr>
          <w:rFonts w:hint="eastAsia" w:ascii="黑体" w:hAnsi="黑体" w:eastAsia="黑体" w:cs="黑体"/>
          <w:color w:val="000000"/>
          <w:kern w:val="0"/>
          <w:sz w:val="32"/>
          <w:szCs w:val="32"/>
          <w:lang w:bidi="ar"/>
        </w:rPr>
        <w:t>二、</w:t>
      </w:r>
      <w:r>
        <w:rPr>
          <w:rFonts w:hint="eastAsia" w:ascii="黑体" w:hAnsi="黑体" w:eastAsia="黑体" w:cs="黑体"/>
          <w:color w:val="000000"/>
          <w:kern w:val="0"/>
          <w:sz w:val="32"/>
          <w:szCs w:val="32"/>
          <w:lang w:eastAsia="zh-CN" w:bidi="ar"/>
        </w:rPr>
        <w:t>收益</w:t>
      </w:r>
      <w:r>
        <w:rPr>
          <w:rFonts w:hint="eastAsia" w:ascii="黑体" w:hAnsi="黑体" w:eastAsia="黑体" w:cs="黑体"/>
          <w:color w:val="000000"/>
          <w:kern w:val="0"/>
          <w:sz w:val="32"/>
          <w:szCs w:val="32"/>
          <w:lang w:bidi="ar"/>
        </w:rPr>
        <w:t>分配</w:t>
      </w:r>
      <w:r>
        <w:rPr>
          <w:rFonts w:hint="eastAsia" w:ascii="黑体" w:hAnsi="黑体" w:eastAsia="黑体" w:cs="黑体"/>
          <w:color w:val="000000"/>
          <w:kern w:val="0"/>
          <w:sz w:val="32"/>
          <w:szCs w:val="32"/>
          <w:lang w:eastAsia="zh-CN" w:bidi="ar"/>
        </w:rPr>
        <w:t>对象</w:t>
      </w:r>
      <w:r>
        <w:rPr>
          <w:rFonts w:hint="eastAsia" w:ascii="仿宋_GB2312" w:hAnsi="仿宋_GB2312" w:eastAsia="仿宋_GB2312" w:cs="仿宋_GB2312"/>
          <w:color w:val="000000"/>
          <w:kern w:val="0"/>
          <w:sz w:val="32"/>
          <w:szCs w:val="32"/>
          <w:lang w:bidi="ar"/>
        </w:rPr>
        <w:t xml:space="preserve"> </w:t>
      </w:r>
    </w:p>
    <w:p w14:paraId="2B51CA80">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 xml:space="preserve">根据省、市关于财政衔接资金使用有关要求，结合我区实际，将资产收益项目受益对象确定为建档立卡脱贫人口和防贫监测对象，全区共188人。其中：未消除风险监测对象5人，此类对象存在返贫致贫风险，需重点帮扶，是本次分配的优先保障群体；整户无劳动力人员138人，因缺乏劳动能力，自主增收能力较弱，需侧重帮扶；其他人员26人，帮扶力度介于无劳动力人员与有劳动力人员之间，具备一定基础条件，需适度帮扶；有劳动力人员19人，具备自主增收潜力，引导其通过劳动稳定增收，需一般帮扶。​  </w:t>
      </w:r>
    </w:p>
    <w:p w14:paraId="439ECD28">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both"/>
        <w:textAlignment w:val="auto"/>
        <w:rPr>
          <w:rFonts w:hint="eastAsia" w:ascii="黑体" w:hAnsi="黑体" w:eastAsia="黑体" w:cs="黑体"/>
          <w:bCs/>
          <w:sz w:val="32"/>
          <w:szCs w:val="32"/>
        </w:rPr>
      </w:pPr>
      <w:r>
        <w:rPr>
          <w:rFonts w:hint="eastAsia" w:ascii="黑体" w:hAnsi="黑体" w:eastAsia="黑体" w:cs="黑体"/>
          <w:color w:val="000000"/>
          <w:kern w:val="0"/>
          <w:sz w:val="32"/>
          <w:szCs w:val="32"/>
          <w:lang w:eastAsia="zh-CN" w:bidi="ar"/>
        </w:rPr>
        <w:t>三、</w:t>
      </w:r>
      <w:r>
        <w:rPr>
          <w:rFonts w:hint="eastAsia" w:ascii="黑体" w:hAnsi="黑体" w:eastAsia="黑体" w:cs="黑体"/>
          <w:color w:val="000000"/>
          <w:kern w:val="0"/>
          <w:sz w:val="32"/>
          <w:szCs w:val="32"/>
          <w:lang w:val="en-US" w:eastAsia="zh-CN" w:bidi="ar"/>
        </w:rPr>
        <w:t>收益</w:t>
      </w:r>
      <w:r>
        <w:rPr>
          <w:rFonts w:hint="eastAsia" w:ascii="黑体" w:hAnsi="黑体" w:eastAsia="黑体" w:cs="黑体"/>
          <w:color w:val="000000"/>
          <w:kern w:val="0"/>
          <w:sz w:val="32"/>
          <w:szCs w:val="32"/>
          <w:lang w:bidi="ar"/>
        </w:rPr>
        <w:t>分配</w:t>
      </w:r>
      <w:r>
        <w:rPr>
          <w:rFonts w:hint="eastAsia" w:ascii="黑体" w:hAnsi="黑体" w:eastAsia="黑体" w:cs="黑体"/>
          <w:color w:val="000000"/>
          <w:kern w:val="0"/>
          <w:sz w:val="32"/>
          <w:szCs w:val="32"/>
          <w:lang w:eastAsia="zh-CN" w:bidi="ar"/>
        </w:rPr>
        <w:t>办法</w:t>
      </w:r>
    </w:p>
    <w:p w14:paraId="106B7EDE">
      <w:pPr>
        <w:keepNext w:val="0"/>
        <w:keepLines w:val="0"/>
        <w:pageBreakBefore w:val="0"/>
        <w:numPr>
          <w:ilvl w:val="0"/>
          <w:numId w:val="0"/>
        </w:numPr>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按照《河北省财政厅等四部门关于印发严格财政扶贫资金资产使用管理十条措施的通知》文件要求“按劳动能力差异化分配、向监测对象重点倾斜”的原则制定分配方案，确保未消除风险监测对象及时稳定消除返贫致贫风险，同时保障不同类型帮扶对象的合理权益，实现帮扶资源精准高效利用。​</w:t>
      </w:r>
    </w:p>
    <w:p w14:paraId="40DBDD5E">
      <w:pPr>
        <w:keepNext w:val="0"/>
        <w:keepLines w:val="0"/>
        <w:pageBreakBefore w:val="0"/>
        <w:numPr>
          <w:ilvl w:val="0"/>
          <w:numId w:val="0"/>
        </w:numPr>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结合各类对象的帮扶需求迫切程度，以“风险越高、帮扶越多，能力越弱、保障越实”为核心思路，结合 4 类群体的帮扶优先级、人员数量及增收能力，设定“分类人均分配比例”</w:t>
      </w:r>
      <w:r>
        <w:rPr>
          <w:rFonts w:hint="eastAsia" w:ascii="仿宋_GB2312" w:hAnsi="仿宋_GB2312" w:eastAsia="仿宋_GB2312" w:cs="仿宋_GB2312"/>
          <w:spacing w:val="0"/>
          <w:sz w:val="32"/>
          <w:szCs w:val="32"/>
          <w:lang w:val="en-US" w:eastAsia="zh-CN"/>
        </w:rPr>
        <w:t>未消除风险监测对象</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pacing w:val="0"/>
          <w:sz w:val="32"/>
          <w:szCs w:val="32"/>
          <w:lang w:val="en-US" w:eastAsia="zh-CN"/>
        </w:rPr>
        <w:t>整户无劳动力人员</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pacing w:val="0"/>
          <w:sz w:val="32"/>
          <w:szCs w:val="32"/>
          <w:lang w:val="en-US" w:eastAsia="zh-CN"/>
        </w:rPr>
        <w:t>其他人员</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pacing w:val="0"/>
          <w:sz w:val="32"/>
          <w:szCs w:val="32"/>
          <w:lang w:val="en-US" w:eastAsia="zh-CN"/>
        </w:rPr>
        <w:t>有劳动力人员</w:t>
      </w:r>
      <w:r>
        <w:rPr>
          <w:rFonts w:hint="eastAsia" w:ascii="仿宋_GB2312" w:hAnsi="仿宋_GB2312" w:eastAsia="仿宋_GB2312" w:cs="仿宋_GB2312"/>
          <w:b w:val="0"/>
          <w:bCs w:val="0"/>
          <w:sz w:val="32"/>
          <w:szCs w:val="32"/>
          <w:lang w:val="en-US" w:eastAsia="zh-CN"/>
        </w:rPr>
        <w:t>=4:3:2:1（优先保障第一类，第二类因人员数量多、增收能力弱设为次优先，第三类适度倾斜，第四类以引导自主增收为主）。</w:t>
      </w:r>
    </w:p>
    <w:p w14:paraId="68FDCC01">
      <w:pPr>
        <w:keepNext w:val="0"/>
        <w:keepLines w:val="0"/>
        <w:pageBreakBefore w:val="0"/>
        <w:numPr>
          <w:ilvl w:val="0"/>
          <w:numId w:val="0"/>
        </w:numPr>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计算比例系数与人均基础金额：​</w:t>
      </w:r>
    </w:p>
    <w:p w14:paraId="14208CC3">
      <w:pPr>
        <w:keepNext w:val="0"/>
        <w:keepLines w:val="0"/>
        <w:pageBreakBefore w:val="0"/>
        <w:numPr>
          <w:ilvl w:val="0"/>
          <w:numId w:val="0"/>
        </w:numPr>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总比例系数=4+3+2+1=10​</w:t>
      </w:r>
    </w:p>
    <w:p w14:paraId="6D8C538E">
      <w:pPr>
        <w:keepNext w:val="0"/>
        <w:keepLines w:val="0"/>
        <w:pageBreakBefore w:val="0"/>
        <w:numPr>
          <w:ilvl w:val="0"/>
          <w:numId w:val="0"/>
        </w:numPr>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人均基础金额 = 收益金总额 ÷（</w:t>
      </w:r>
      <w:r>
        <w:rPr>
          <w:rFonts w:hint="eastAsia" w:ascii="仿宋_GB2312" w:hAnsi="仿宋_GB2312" w:eastAsia="仿宋_GB2312" w:cs="仿宋_GB2312"/>
          <w:spacing w:val="0"/>
          <w:sz w:val="32"/>
          <w:szCs w:val="32"/>
          <w:lang w:val="en-US" w:eastAsia="zh-CN"/>
        </w:rPr>
        <w:t>未消除风险监测对象数</w:t>
      </w:r>
      <w:r>
        <w:rPr>
          <w:rFonts w:hint="eastAsia" w:ascii="仿宋_GB2312" w:hAnsi="仿宋_GB2312" w:eastAsia="仿宋_GB2312" w:cs="仿宋_GB2312"/>
          <w:b w:val="0"/>
          <w:bCs w:val="0"/>
          <w:sz w:val="32"/>
          <w:szCs w:val="32"/>
          <w:lang w:val="en-US" w:eastAsia="zh-CN"/>
        </w:rPr>
        <w:t>×4 +</w:t>
      </w:r>
      <w:r>
        <w:rPr>
          <w:rFonts w:hint="eastAsia" w:ascii="仿宋_GB2312" w:hAnsi="仿宋_GB2312" w:eastAsia="仿宋_GB2312" w:cs="仿宋_GB2312"/>
          <w:spacing w:val="0"/>
          <w:sz w:val="32"/>
          <w:szCs w:val="32"/>
          <w:lang w:val="en-US" w:eastAsia="zh-CN"/>
        </w:rPr>
        <w:t>整户无劳动力人员数</w:t>
      </w:r>
      <w:r>
        <w:rPr>
          <w:rFonts w:hint="eastAsia" w:ascii="仿宋_GB2312" w:hAnsi="仿宋_GB2312" w:eastAsia="仿宋_GB2312" w:cs="仿宋_GB2312"/>
          <w:b w:val="0"/>
          <w:bCs w:val="0"/>
          <w:sz w:val="32"/>
          <w:szCs w:val="32"/>
          <w:lang w:val="en-US" w:eastAsia="zh-CN"/>
        </w:rPr>
        <w:t xml:space="preserve">×3 + </w:t>
      </w:r>
      <w:r>
        <w:rPr>
          <w:rFonts w:hint="eastAsia" w:ascii="仿宋_GB2312" w:hAnsi="仿宋_GB2312" w:eastAsia="仿宋_GB2312" w:cs="仿宋_GB2312"/>
          <w:spacing w:val="0"/>
          <w:sz w:val="32"/>
          <w:szCs w:val="32"/>
          <w:lang w:val="en-US" w:eastAsia="zh-CN"/>
        </w:rPr>
        <w:t>其他人员数</w:t>
      </w:r>
      <w:r>
        <w:rPr>
          <w:rFonts w:hint="eastAsia" w:ascii="仿宋_GB2312" w:hAnsi="仿宋_GB2312" w:eastAsia="仿宋_GB2312" w:cs="仿宋_GB2312"/>
          <w:b w:val="0"/>
          <w:bCs w:val="0"/>
          <w:sz w:val="32"/>
          <w:szCs w:val="32"/>
          <w:lang w:val="en-US" w:eastAsia="zh-CN"/>
        </w:rPr>
        <w:t xml:space="preserve">×2 + </w:t>
      </w:r>
      <w:r>
        <w:rPr>
          <w:rFonts w:hint="eastAsia" w:ascii="仿宋_GB2312" w:hAnsi="仿宋_GB2312" w:eastAsia="仿宋_GB2312" w:cs="仿宋_GB2312"/>
          <w:spacing w:val="0"/>
          <w:sz w:val="32"/>
          <w:szCs w:val="32"/>
          <w:lang w:val="en-US" w:eastAsia="zh-CN"/>
        </w:rPr>
        <w:t>有劳动力人员数</w:t>
      </w:r>
      <w:r>
        <w:rPr>
          <w:rFonts w:hint="eastAsia" w:ascii="仿宋_GB2312" w:hAnsi="仿宋_GB2312" w:eastAsia="仿宋_GB2312" w:cs="仿宋_GB2312"/>
          <w:b w:val="0"/>
          <w:bCs w:val="0"/>
          <w:sz w:val="32"/>
          <w:szCs w:val="32"/>
          <w:lang w:val="en-US" w:eastAsia="zh-CN"/>
        </w:rPr>
        <w:t>×1）=415350元÷（5×4+ 138×3 + 26×2 + 19×1）=405350元 ÷（20 + 414 + 52 + 19）=415350元 ÷505=822.48元（保留两位小数）</w:t>
      </w:r>
    </w:p>
    <w:p w14:paraId="7794B421">
      <w:pPr>
        <w:keepNext w:val="0"/>
        <w:keepLines w:val="0"/>
        <w:pageBreakBefore w:val="0"/>
        <w:numPr>
          <w:ilvl w:val="0"/>
          <w:numId w:val="0"/>
        </w:numPr>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pacing w:val="0"/>
          <w:sz w:val="32"/>
          <w:szCs w:val="32"/>
          <w:lang w:val="en-US" w:eastAsia="zh-CN"/>
        </w:rPr>
        <w:t>2021财政衔接资金年收益金为41.535万元</w:t>
      </w:r>
      <w:r>
        <w:rPr>
          <w:rFonts w:hint="eastAsia" w:ascii="仿宋_GB2312" w:hAnsi="仿宋_GB2312" w:eastAsia="仿宋_GB2312" w:cs="仿宋_GB2312"/>
          <w:b w:val="0"/>
          <w:bCs w:val="0"/>
          <w:sz w:val="32"/>
          <w:szCs w:val="32"/>
          <w:lang w:val="en-US" w:eastAsia="zh-CN"/>
        </w:rPr>
        <w:t>，按分类人均分配比例4:3:2:1，</w:t>
      </w:r>
      <w:r>
        <w:rPr>
          <w:rFonts w:hint="eastAsia" w:ascii="仿宋_GB2312" w:hAnsi="仿宋_GB2312" w:eastAsia="仿宋_GB2312" w:cs="仿宋_GB2312"/>
          <w:spacing w:val="0"/>
          <w:sz w:val="32"/>
          <w:szCs w:val="32"/>
          <w:lang w:val="en-US" w:eastAsia="zh-CN"/>
        </w:rPr>
        <w:t>未消除风险监测对象</w:t>
      </w:r>
      <w:r>
        <w:rPr>
          <w:rFonts w:hint="eastAsia" w:ascii="仿宋_GB2312" w:hAnsi="仿宋_GB2312" w:eastAsia="仿宋_GB2312" w:cs="仿宋_GB2312"/>
          <w:b w:val="0"/>
          <w:bCs w:val="0"/>
          <w:sz w:val="32"/>
          <w:szCs w:val="32"/>
          <w:lang w:val="en-US" w:eastAsia="zh-CN"/>
        </w:rPr>
        <w:t>每人每年3290元、整户无劳力脱贫人口每人每年2467元、其他脱贫人口每人每年1645元、有劳力脱贫人口每人每年822元标准进行差异化分配</w:t>
      </w:r>
      <w:r>
        <w:rPr>
          <w:rFonts w:hint="eastAsia" w:ascii="仿宋_GB2312" w:hAnsi="仿宋_GB2312" w:eastAsia="仿宋_GB2312" w:cs="仿宋_GB2312"/>
          <w:bCs/>
          <w:sz w:val="32"/>
          <w:szCs w:val="32"/>
        </w:rPr>
        <w:t>，每半年分配一次。</w:t>
      </w:r>
    </w:p>
    <w:p w14:paraId="0DC03D20">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both"/>
        <w:textAlignment w:val="auto"/>
        <w:rPr>
          <w:rFonts w:hint="eastAsia" w:ascii="黑体" w:hAnsi="黑体" w:eastAsia="黑体" w:cs="黑体"/>
          <w:bCs/>
          <w:sz w:val="32"/>
          <w:szCs w:val="32"/>
        </w:rPr>
      </w:pPr>
      <w:r>
        <w:rPr>
          <w:rFonts w:hint="eastAsia" w:ascii="黑体" w:hAnsi="黑体" w:eastAsia="黑体" w:cs="黑体"/>
          <w:b w:val="0"/>
          <w:bCs w:val="0"/>
          <w:color w:val="000000"/>
          <w:kern w:val="0"/>
          <w:sz w:val="32"/>
          <w:szCs w:val="32"/>
          <w:lang w:val="en-US" w:eastAsia="zh-CN" w:bidi="ar"/>
        </w:rPr>
        <w:t>三、</w:t>
      </w:r>
      <w:r>
        <w:rPr>
          <w:rFonts w:hint="eastAsia" w:ascii="黑体" w:hAnsi="黑体" w:eastAsia="黑体" w:cs="黑体"/>
          <w:color w:val="000000"/>
          <w:kern w:val="0"/>
          <w:sz w:val="32"/>
          <w:szCs w:val="32"/>
          <w:lang w:eastAsia="zh-CN" w:bidi="ar"/>
        </w:rPr>
        <w:t>资金拨付程序</w:t>
      </w:r>
    </w:p>
    <w:p w14:paraId="6F2A9219">
      <w:pPr>
        <w:keepNext w:val="0"/>
        <w:keepLines w:val="0"/>
        <w:pageBreakBefore w:val="0"/>
        <w:numPr>
          <w:ilvl w:val="0"/>
          <w:numId w:val="0"/>
        </w:numPr>
        <w:kinsoku/>
        <w:wordWrap/>
        <w:overflowPunct/>
        <w:topLinePunct w:val="0"/>
        <w:autoSpaceDE/>
        <w:autoSpaceDN/>
        <w:bidi w:val="0"/>
        <w:adjustRightInd w:val="0"/>
        <w:snapToGrid w:val="0"/>
        <w:spacing w:line="540" w:lineRule="exact"/>
        <w:ind w:leftChars="0"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val="0"/>
          <w:bCs/>
          <w:spacing w:val="0"/>
          <w:sz w:val="32"/>
          <w:szCs w:val="32"/>
          <w:lang w:val="en-US" w:eastAsia="zh-CN"/>
        </w:rPr>
        <w:t>受益对象须经所在村召开村民代表会议研究确定，并予以公示，公示期7天，公示情况形成照片，与会议纪要一并上报至白沟镇农业综合服务中心备案，并由其负责审定监督。收益金分配情况在白沟新城官网公示后，项目实施企业按照合同将项目收益金转入到白沟镇人民政府，由白沟镇农业综合服务中心依审定发放名单申请拨付至受益户，银行拨款明细及时备案。</w:t>
      </w:r>
    </w:p>
    <w:p w14:paraId="7B1B7F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黑体" w:hAnsi="黑体" w:eastAsia="黑体" w:cs="黑体"/>
          <w:i w:val="0"/>
          <w:caps w:val="0"/>
          <w:color w:val="000000"/>
          <w:spacing w:val="0"/>
          <w:kern w:val="0"/>
          <w:sz w:val="32"/>
          <w:szCs w:val="32"/>
          <w:lang w:val="en-US" w:eastAsia="zh-CN" w:bidi="ar"/>
        </w:rPr>
      </w:pPr>
      <w:r>
        <w:rPr>
          <w:rFonts w:hint="eastAsia" w:ascii="黑体" w:hAnsi="黑体" w:eastAsia="黑体" w:cs="黑体"/>
          <w:i w:val="0"/>
          <w:caps w:val="0"/>
          <w:color w:val="000000"/>
          <w:spacing w:val="0"/>
          <w:kern w:val="0"/>
          <w:sz w:val="32"/>
          <w:szCs w:val="32"/>
          <w:lang w:val="en-US" w:eastAsia="zh-CN" w:bidi="ar"/>
        </w:rPr>
        <w:t>四、工作要求</w:t>
      </w:r>
    </w:p>
    <w:p w14:paraId="4032BD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仿宋" w:hAnsi="仿宋" w:eastAsia="仿宋" w:cs="仿宋"/>
          <w:b w:val="0"/>
          <w:bCs w:val="0"/>
          <w:sz w:val="32"/>
          <w:szCs w:val="32"/>
          <w:lang w:val="en-US" w:eastAsia="zh-CN"/>
        </w:rPr>
      </w:pPr>
      <w:r>
        <w:rPr>
          <w:rFonts w:hint="eastAsia" w:ascii="仿宋_GB2312" w:hAnsi="仿宋_GB2312" w:eastAsia="仿宋_GB2312" w:cs="仿宋_GB2312"/>
          <w:i w:val="0"/>
          <w:caps w:val="0"/>
          <w:color w:val="000000"/>
          <w:spacing w:val="0"/>
          <w:kern w:val="0"/>
          <w:sz w:val="32"/>
          <w:szCs w:val="32"/>
          <w:lang w:val="en-US" w:eastAsia="zh-CN" w:bidi="ar"/>
        </w:rPr>
        <w:t>资产收益项目收益</w:t>
      </w:r>
      <w:r>
        <w:rPr>
          <w:rFonts w:hint="eastAsia" w:ascii="仿宋_GB2312" w:hAnsi="仿宋_GB2312" w:eastAsia="仿宋_GB2312" w:cs="仿宋_GB2312"/>
          <w:color w:val="000000"/>
          <w:sz w:val="32"/>
          <w:szCs w:val="32"/>
        </w:rPr>
        <w:t>金</w:t>
      </w:r>
      <w:r>
        <w:rPr>
          <w:rFonts w:hint="eastAsia" w:ascii="仿宋_GB2312" w:hAnsi="仿宋_GB2312" w:eastAsia="仿宋_GB2312" w:cs="仿宋_GB2312"/>
          <w:color w:val="000000"/>
          <w:sz w:val="32"/>
          <w:szCs w:val="32"/>
          <w:lang w:val="en-US" w:eastAsia="zh-CN"/>
        </w:rPr>
        <w:t>实施</w:t>
      </w:r>
      <w:r>
        <w:rPr>
          <w:rFonts w:hint="eastAsia" w:ascii="仿宋_GB2312" w:hAnsi="仿宋_GB2312" w:eastAsia="仿宋_GB2312" w:cs="仿宋_GB2312"/>
          <w:color w:val="000000"/>
          <w:sz w:val="32"/>
          <w:szCs w:val="32"/>
        </w:rPr>
        <w:t>责任追究机制，要严格按照规定使用，做到专款专用。</w:t>
      </w:r>
      <w:r>
        <w:rPr>
          <w:rFonts w:hint="eastAsia" w:ascii="仿宋_GB2312" w:hAnsi="仿宋_GB2312" w:eastAsia="仿宋_GB2312" w:cs="仿宋_GB2312"/>
          <w:color w:val="000000"/>
          <w:sz w:val="32"/>
          <w:szCs w:val="32"/>
          <w:lang w:val="en-US" w:eastAsia="zh-CN"/>
        </w:rPr>
        <w:t>农业农村部门、财政部门</w:t>
      </w:r>
      <w:r>
        <w:rPr>
          <w:rFonts w:hint="eastAsia" w:ascii="仿宋_GB2312" w:hAnsi="仿宋_GB2312" w:eastAsia="仿宋_GB2312" w:cs="仿宋_GB2312"/>
          <w:color w:val="000000"/>
          <w:sz w:val="32"/>
          <w:szCs w:val="32"/>
        </w:rPr>
        <w:t>要切实加强对收益</w:t>
      </w:r>
      <w:r>
        <w:rPr>
          <w:rFonts w:hint="eastAsia" w:ascii="仿宋_GB2312" w:hAnsi="仿宋_GB2312" w:eastAsia="仿宋_GB2312" w:cs="仿宋_GB2312"/>
          <w:color w:val="000000"/>
          <w:sz w:val="32"/>
          <w:szCs w:val="32"/>
          <w:lang w:val="en-US" w:eastAsia="zh-CN"/>
        </w:rPr>
        <w:t>金</w:t>
      </w:r>
      <w:r>
        <w:rPr>
          <w:rFonts w:hint="eastAsia" w:ascii="仿宋_GB2312" w:hAnsi="仿宋_GB2312" w:eastAsia="仿宋_GB2312" w:cs="仿宋_GB2312"/>
          <w:color w:val="000000"/>
          <w:sz w:val="32"/>
          <w:szCs w:val="32"/>
        </w:rPr>
        <w:t>分配的督导指导，确保</w:t>
      </w:r>
      <w:r>
        <w:rPr>
          <w:rFonts w:hint="eastAsia" w:ascii="仿宋_GB2312" w:hAnsi="仿宋_GB2312" w:eastAsia="仿宋_GB2312" w:cs="仿宋_GB2312"/>
          <w:bCs/>
          <w:color w:val="000000"/>
          <w:spacing w:val="-1"/>
          <w:kern w:val="0"/>
          <w:sz w:val="32"/>
          <w:szCs w:val="32"/>
        </w:rPr>
        <w:t>资金安全。</w:t>
      </w:r>
      <w:r>
        <w:rPr>
          <w:rFonts w:hint="eastAsia" w:ascii="仿宋_GB2312" w:hAnsi="仿宋_GB2312" w:eastAsia="仿宋_GB2312" w:cs="仿宋_GB2312"/>
          <w:bCs/>
          <w:color w:val="000000"/>
          <w:spacing w:val="-1"/>
          <w:kern w:val="0"/>
          <w:sz w:val="32"/>
          <w:szCs w:val="32"/>
          <w:lang w:val="en-US" w:eastAsia="zh-CN"/>
        </w:rPr>
        <w:t>纪检部门</w:t>
      </w:r>
      <w:r>
        <w:rPr>
          <w:rFonts w:hint="eastAsia" w:ascii="仿宋_GB2312" w:hAnsi="仿宋_GB2312" w:eastAsia="仿宋_GB2312" w:cs="仿宋_GB2312"/>
          <w:color w:val="000000"/>
          <w:sz w:val="32"/>
          <w:szCs w:val="32"/>
          <w:lang w:val="en-US" w:eastAsia="zh-CN"/>
        </w:rPr>
        <w:t>要</w:t>
      </w:r>
      <w:r>
        <w:rPr>
          <w:rFonts w:hint="eastAsia" w:ascii="仿宋_GB2312" w:hAnsi="仿宋_GB2312" w:eastAsia="仿宋_GB2312" w:cs="仿宋_GB2312"/>
          <w:color w:val="000000"/>
          <w:sz w:val="32"/>
          <w:szCs w:val="32"/>
        </w:rPr>
        <w:t>做好项目资金的监</w:t>
      </w:r>
      <w:r>
        <w:rPr>
          <w:rFonts w:hint="eastAsia" w:ascii="仿宋_GB2312" w:hAnsi="仿宋_GB2312" w:eastAsia="仿宋_GB2312" w:cs="仿宋_GB2312"/>
          <w:color w:val="000000"/>
          <w:sz w:val="32"/>
          <w:szCs w:val="32"/>
          <w:lang w:val="en-US" w:eastAsia="zh-CN"/>
        </w:rPr>
        <w:t>督</w:t>
      </w:r>
      <w:r>
        <w:rPr>
          <w:rFonts w:hint="eastAsia" w:ascii="仿宋_GB2312" w:hAnsi="仿宋_GB2312" w:eastAsia="仿宋_GB2312" w:cs="仿宋_GB2312"/>
          <w:color w:val="000000"/>
          <w:sz w:val="32"/>
          <w:szCs w:val="32"/>
        </w:rPr>
        <w:t>工作，对截留、私分、挪用、侵占、贪污、套取扶贫资金的违法违纪行为，按照有关规定严肃查处，构成犯罪的移交司法机关。</w:t>
      </w:r>
    </w:p>
    <w:p w14:paraId="4B706380">
      <w:pPr>
        <w:wordWrap/>
        <w:jc w:val="both"/>
        <w:rPr>
          <w:rFonts w:hint="eastAsia" w:ascii="仿宋" w:hAnsi="仿宋" w:eastAsia="仿宋" w:cs="仿宋"/>
          <w:b w:val="0"/>
          <w:bCs w:val="0"/>
          <w:sz w:val="32"/>
          <w:szCs w:val="32"/>
          <w:lang w:val="en-US" w:eastAsia="zh-CN"/>
        </w:rPr>
      </w:pPr>
    </w:p>
    <w:p w14:paraId="08E0136F">
      <w:pPr>
        <w:wordWrap/>
        <w:jc w:val="righ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中共保定白沟新城农村工作领导小组办公室   </w:t>
      </w:r>
    </w:p>
    <w:p w14:paraId="4A23BED3">
      <w:pPr>
        <w:wordWrap w:val="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白沟新城白沟</w:t>
      </w:r>
      <w:bookmarkStart w:id="0" w:name="_GoBack"/>
      <w:bookmarkEnd w:id="0"/>
      <w:r>
        <w:rPr>
          <w:rFonts w:hint="eastAsia" w:ascii="仿宋_GB2312" w:hAnsi="仿宋_GB2312" w:eastAsia="仿宋_GB2312" w:cs="仿宋_GB2312"/>
          <w:sz w:val="32"/>
          <w:szCs w:val="32"/>
          <w:lang w:val="en-US" w:eastAsia="zh-CN"/>
        </w:rPr>
        <w:t>镇农业综合服务中心（代章）</w:t>
      </w:r>
    </w:p>
    <w:p w14:paraId="6A1F03E2">
      <w:pPr>
        <w:ind w:firstLine="640" w:firstLineChars="200"/>
        <w:jc w:val="center"/>
        <w:rPr>
          <w:rFonts w:hint="eastAsia" w:ascii="仿宋" w:hAnsi="仿宋" w:eastAsia="仿宋" w:cs="仿宋"/>
          <w:b w:val="0"/>
          <w:bCs w:val="0"/>
          <w:w w:val="95"/>
          <w:sz w:val="32"/>
          <w:szCs w:val="32"/>
          <w:lang w:val="en-US" w:eastAsia="zh-CN"/>
        </w:rPr>
      </w:pPr>
      <w:r>
        <w:rPr>
          <w:rFonts w:hint="eastAsia" w:ascii="仿宋" w:hAnsi="仿宋" w:eastAsia="仿宋" w:cs="仿宋"/>
          <w:b w:val="0"/>
          <w:bCs w:val="0"/>
          <w:sz w:val="32"/>
          <w:szCs w:val="32"/>
          <w:highlight w:val="none"/>
          <w:lang w:val="en-US" w:eastAsia="zh-CN"/>
        </w:rPr>
        <w:t xml:space="preserve">         2025年9月30日</w:t>
      </w:r>
    </w:p>
    <w:tbl>
      <w:tblPr>
        <w:tblStyle w:val="5"/>
        <w:tblpPr w:leftFromText="180" w:rightFromText="180" w:vertAnchor="text" w:horzAnchor="page" w:tblpX="1517" w:tblpY="953"/>
        <w:tblW w:w="0" w:type="auto"/>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9060"/>
      </w:tblGrid>
      <w:tr w14:paraId="0EE3CD1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060" w:type="dxa"/>
            <w:tcBorders>
              <w:bottom w:val="single" w:color="000000" w:sz="12" w:space="0"/>
            </w:tcBorders>
            <w:noWrap w:val="0"/>
            <w:vAlign w:val="center"/>
          </w:tcPr>
          <w:p w14:paraId="1EFCB22D">
            <w:pPr>
              <w:spacing w:line="400" w:lineRule="exact"/>
              <w:ind w:right="210" w:rightChars="100"/>
              <w:jc w:val="both"/>
              <w:rPr>
                <w:rFonts w:ascii="仿宋" w:hAnsi="仿宋" w:eastAsia="仿宋" w:cs="仿宋_GB2312"/>
                <w:sz w:val="30"/>
                <w:szCs w:val="30"/>
              </w:rPr>
            </w:pPr>
            <w:r>
              <w:rPr>
                <w:rFonts w:hint="eastAsia" w:ascii="仿宋" w:hAnsi="仿宋" w:eastAsia="仿宋" w:cs="仿宋_GB2312"/>
                <w:spacing w:val="-11"/>
                <w:w w:val="100"/>
                <w:sz w:val="30"/>
                <w:szCs w:val="30"/>
              </w:rPr>
              <w:t>中共</w:t>
            </w:r>
            <w:r>
              <w:rPr>
                <w:rFonts w:hint="eastAsia" w:ascii="仿宋" w:hAnsi="仿宋" w:eastAsia="仿宋" w:cs="仿宋_GB2312"/>
                <w:spacing w:val="-11"/>
                <w:w w:val="100"/>
                <w:sz w:val="30"/>
                <w:szCs w:val="30"/>
                <w:lang w:val="en-US" w:eastAsia="zh-CN"/>
              </w:rPr>
              <w:t>保定</w:t>
            </w:r>
            <w:r>
              <w:rPr>
                <w:rFonts w:hint="eastAsia" w:ascii="仿宋" w:hAnsi="仿宋" w:eastAsia="仿宋" w:cs="仿宋_GB2312"/>
                <w:spacing w:val="-11"/>
                <w:w w:val="100"/>
                <w:sz w:val="30"/>
                <w:szCs w:val="30"/>
              </w:rPr>
              <w:t>白沟新城农村工作领导小组</w:t>
            </w:r>
            <w:r>
              <w:rPr>
                <w:rFonts w:hint="eastAsia" w:ascii="仿宋" w:hAnsi="仿宋" w:eastAsia="仿宋" w:cs="仿宋_GB2312"/>
                <w:spacing w:val="-11"/>
                <w:w w:val="100"/>
                <w:sz w:val="30"/>
                <w:szCs w:val="30"/>
                <w:lang w:val="en-US" w:eastAsia="zh-CN"/>
              </w:rPr>
              <w:t xml:space="preserve">办公室      </w:t>
            </w:r>
            <w:r>
              <w:rPr>
                <w:rFonts w:hint="eastAsia" w:ascii="Times New Roman" w:hAnsi="Times New Roman" w:eastAsia="仿宋" w:cs="仿宋_GB2312"/>
                <w:spacing w:val="-11"/>
                <w:w w:val="100"/>
                <w:sz w:val="30"/>
                <w:szCs w:val="30"/>
              </w:rPr>
              <w:t>202</w:t>
            </w:r>
            <w:r>
              <w:rPr>
                <w:rFonts w:hint="eastAsia" w:ascii="Times New Roman" w:hAnsi="Times New Roman" w:eastAsia="仿宋" w:cs="仿宋_GB2312"/>
                <w:spacing w:val="-11"/>
                <w:w w:val="100"/>
                <w:sz w:val="30"/>
                <w:szCs w:val="30"/>
                <w:lang w:val="en-US" w:eastAsia="zh-CN"/>
              </w:rPr>
              <w:t>5</w:t>
            </w:r>
            <w:r>
              <w:rPr>
                <w:rFonts w:hint="eastAsia" w:ascii="仿宋" w:hAnsi="仿宋" w:eastAsia="仿宋" w:cs="仿宋_GB2312"/>
                <w:spacing w:val="-11"/>
                <w:w w:val="100"/>
                <w:sz w:val="30"/>
                <w:szCs w:val="30"/>
              </w:rPr>
              <w:t>年</w:t>
            </w:r>
            <w:r>
              <w:rPr>
                <w:rFonts w:hint="eastAsia" w:ascii="仿宋" w:hAnsi="仿宋" w:eastAsia="仿宋" w:cs="仿宋_GB2312"/>
                <w:spacing w:val="-11"/>
                <w:w w:val="100"/>
                <w:sz w:val="30"/>
                <w:szCs w:val="30"/>
                <w:lang w:val="en-US" w:eastAsia="zh-CN"/>
              </w:rPr>
              <w:t>9</w:t>
            </w:r>
            <w:r>
              <w:rPr>
                <w:rFonts w:hint="eastAsia" w:ascii="仿宋" w:hAnsi="仿宋" w:eastAsia="仿宋" w:cs="仿宋_GB2312"/>
                <w:spacing w:val="-11"/>
                <w:w w:val="100"/>
                <w:sz w:val="30"/>
                <w:szCs w:val="30"/>
              </w:rPr>
              <w:t>月</w:t>
            </w:r>
            <w:r>
              <w:rPr>
                <w:rFonts w:hint="eastAsia" w:ascii="仿宋" w:hAnsi="仿宋" w:eastAsia="仿宋" w:cs="仿宋_GB2312"/>
                <w:spacing w:val="-11"/>
                <w:w w:val="100"/>
                <w:sz w:val="30"/>
                <w:szCs w:val="30"/>
                <w:lang w:val="en-US" w:eastAsia="zh-CN"/>
              </w:rPr>
              <w:t>30</w:t>
            </w:r>
            <w:r>
              <w:rPr>
                <w:rFonts w:hint="eastAsia" w:ascii="仿宋" w:hAnsi="仿宋" w:eastAsia="仿宋" w:cs="仿宋_GB2312"/>
                <w:spacing w:val="-11"/>
                <w:w w:val="100"/>
                <w:sz w:val="30"/>
                <w:szCs w:val="30"/>
              </w:rPr>
              <w:t>日印</w:t>
            </w:r>
          </w:p>
        </w:tc>
      </w:tr>
    </w:tbl>
    <w:p w14:paraId="31C21F60">
      <w:pPr>
        <w:wordWrap w:val="0"/>
        <w:jc w:val="right"/>
        <w:rPr>
          <w:rFonts w:hint="default" w:ascii="仿宋" w:hAnsi="仿宋" w:eastAsia="仿宋" w:cs="仿宋"/>
          <w:b w:val="0"/>
          <w:bCs w:val="0"/>
          <w:sz w:val="32"/>
          <w:szCs w:val="32"/>
          <w:lang w:val="en-US" w:eastAsia="zh-CN"/>
        </w:rPr>
      </w:pPr>
      <w:r>
        <w:rPr>
          <w:rFonts w:hint="eastAsia" w:ascii="仿宋_GB2312" w:hAnsi="仿宋_GB2312" w:eastAsia="仿宋_GB2312" w:cs="仿宋_GB2312"/>
          <w:sz w:val="32"/>
          <w:szCs w:val="32"/>
          <w:lang w:val="en-US" w:eastAsia="zh-CN"/>
        </w:rPr>
        <w:t xml:space="preserve"> </w:t>
      </w:r>
    </w:p>
    <w:p w14:paraId="5734EC31">
      <w:pPr>
        <w:ind w:firstLine="640" w:firstLineChars="200"/>
        <w:jc w:val="both"/>
        <w:rPr>
          <w:rFonts w:hint="eastAsia" w:ascii="仿宋" w:hAnsi="仿宋" w:eastAsia="仿宋" w:cs="仿宋"/>
          <w:b w:val="0"/>
          <w:bCs w:val="0"/>
          <w:w w:val="95"/>
          <w:sz w:val="32"/>
          <w:szCs w:val="32"/>
          <w:lang w:val="en-US" w:eastAsia="zh-CN"/>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highlight w:val="none"/>
          <w:lang w:val="en-US" w:eastAsia="zh-CN"/>
        </w:rPr>
        <w:t xml:space="preserve">                </w:t>
      </w:r>
    </w:p>
    <w:p w14:paraId="304B2A5B">
      <w:pPr>
        <w:pStyle w:val="2"/>
        <w:rPr>
          <w:rFonts w:hint="eastAsia" w:ascii="仿宋" w:hAnsi="仿宋" w:eastAsia="仿宋" w:cs="仿宋"/>
          <w:b w:val="0"/>
          <w:bCs w:val="0"/>
          <w:w w:val="95"/>
          <w:sz w:val="32"/>
          <w:szCs w:val="32"/>
          <w:lang w:val="en-US" w:eastAsia="zh-CN"/>
        </w:rPr>
      </w:pPr>
    </w:p>
    <w:p w14:paraId="1D6D0DAF">
      <w:pPr>
        <w:rPr>
          <w:rFonts w:hint="eastAsia"/>
          <w:lang w:val="en-US" w:eastAsia="zh-CN"/>
        </w:rPr>
      </w:pPr>
    </w:p>
    <w:sectPr>
      <w:footerReference r:id="rId3" w:type="default"/>
      <w:pgSz w:w="11906" w:h="16838"/>
      <w:pgMar w:top="1814" w:right="1474" w:bottom="170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A9EB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A419B9">
                          <w:pPr>
                            <w:pStyle w:val="3"/>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DA419B9">
                    <w:pPr>
                      <w:pStyle w:val="3"/>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0NTg5OTlkNzFhOWYyYTlhMDg3OWYzZTY5ODE1NTUifQ=="/>
  </w:docVars>
  <w:rsids>
    <w:rsidRoot w:val="00000000"/>
    <w:rsid w:val="02AA2609"/>
    <w:rsid w:val="12B23C9E"/>
    <w:rsid w:val="16987CF4"/>
    <w:rsid w:val="198F355C"/>
    <w:rsid w:val="2149116C"/>
    <w:rsid w:val="241957F4"/>
    <w:rsid w:val="2DE7332C"/>
    <w:rsid w:val="2E5C6CD3"/>
    <w:rsid w:val="31AD27C6"/>
    <w:rsid w:val="3340162B"/>
    <w:rsid w:val="340445B6"/>
    <w:rsid w:val="39FD4403"/>
    <w:rsid w:val="3F55356A"/>
    <w:rsid w:val="43771E0A"/>
    <w:rsid w:val="45F61031"/>
    <w:rsid w:val="473F52C1"/>
    <w:rsid w:val="48A269A7"/>
    <w:rsid w:val="4B1B0521"/>
    <w:rsid w:val="50281DAB"/>
    <w:rsid w:val="524835EA"/>
    <w:rsid w:val="5AE74848"/>
    <w:rsid w:val="5F557CAB"/>
    <w:rsid w:val="60B9061D"/>
    <w:rsid w:val="61C32CD4"/>
    <w:rsid w:val="628F18A5"/>
    <w:rsid w:val="694230D6"/>
    <w:rsid w:val="70C6661B"/>
    <w:rsid w:val="71D9648A"/>
    <w:rsid w:val="73316466"/>
    <w:rsid w:val="73F41053"/>
    <w:rsid w:val="74D10918"/>
    <w:rsid w:val="7ADA29EC"/>
    <w:rsid w:val="7B92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1406</Words>
  <Characters>1529</Characters>
  <Lines>0</Lines>
  <Paragraphs>0</Paragraphs>
  <TotalTime>3</TotalTime>
  <ScaleCrop>false</ScaleCrop>
  <LinksUpToDate>false</LinksUpToDate>
  <CharactersWithSpaces>1590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2024-07-28T01:39:00Z</dcterms:created>
  <dc:creator>Administrator</dc:creator>
  <cp:lastModifiedBy>Administrator</cp:lastModifiedBy>
  <cp:lastPrinted>2024-08-20T02:03:00Z</cp:lastPrinted>
  <dcterms:modified xsi:type="dcterms:W3CDTF">2025-10-11T08:28:08Z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4ADA237FE65C4D2C97736E97826CF344_13</vt:lpwstr>
  </property>
  <property fmtid="{D5CDD505-2E9C-101B-9397-08002B2CF9AE}" pid="4" name="KSOTemplateDocerSaveRecord">
    <vt:lpwstr>eyJoZGlkIjoiYTU0NTg5OTlkNzFhOWYyYTlhMDg3OWYzZTY5ODE1NTUifQ==</vt:lpwstr>
  </property>
</Properties>
</file>