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noWrap w:val="0"/>
            <w:vAlign w:val="top"/>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高碑店市白沟京泽压铸厂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noWrap w:val="0"/>
            <w:vAlign w:val="top"/>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91130611774445505k</w:t>
            </w:r>
          </w:p>
        </w:tc>
        <w:tc>
          <w:tcPr>
            <w:tcW w:w="1984" w:type="dxa"/>
            <w:noWrap w:val="0"/>
            <w:vAlign w:val="top"/>
          </w:tcPr>
          <w:p>
            <w:pPr>
              <w:spacing w:line="6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noWrap w:val="0"/>
            <w:vAlign w:val="top"/>
          </w:tcPr>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马艳茹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白沟镇工业园区一期枫杨路9号</w:t>
            </w:r>
          </w:p>
        </w:tc>
        <w:tc>
          <w:tcPr>
            <w:tcW w:w="1984" w:type="dxa"/>
            <w:noWrap w:val="0"/>
            <w:vAlign w:val="top"/>
          </w:tcPr>
          <w:p>
            <w:pPr>
              <w:spacing w:line="6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noWrap w:val="0"/>
            <w:vAlign w:val="center"/>
          </w:tcPr>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金属表面处理及热处理加工</w:t>
            </w:r>
          </w:p>
        </w:tc>
        <w:tc>
          <w:tcPr>
            <w:tcW w:w="1984" w:type="dxa"/>
            <w:noWrap w:val="0"/>
            <w:vAlign w:val="top"/>
          </w:tcPr>
          <w:p>
            <w:pPr>
              <w:spacing w:line="6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联系电话</w:t>
            </w:r>
          </w:p>
        </w:tc>
        <w:tc>
          <w:tcPr>
            <w:tcW w:w="2835" w:type="dxa"/>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13582995885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0"/>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val="0"/>
            <w:vAlign w:val="top"/>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五金饰件</w:t>
            </w:r>
          </w:p>
        </w:tc>
        <w:tc>
          <w:tcPr>
            <w:tcW w:w="4819" w:type="dxa"/>
            <w:gridSpan w:val="2"/>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800t/n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noWrap w:val="0"/>
            <w:vAlign w:val="to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3"/>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152"/>
        <w:gridCol w:w="786"/>
        <w:gridCol w:w="61"/>
        <w:gridCol w:w="238"/>
        <w:gridCol w:w="6"/>
        <w:gridCol w:w="750"/>
        <w:gridCol w:w="68"/>
        <w:gridCol w:w="889"/>
        <w:gridCol w:w="1047"/>
        <w:gridCol w:w="34"/>
        <w:gridCol w:w="615"/>
        <w:gridCol w:w="103"/>
        <w:gridCol w:w="28"/>
        <w:gridCol w:w="74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09" w:type="dxa"/>
            <w:gridSpan w:val="33"/>
            <w:noWrap w:val="0"/>
            <w:vAlign w:val="to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09" w:type="dxa"/>
            <w:gridSpan w:val="17"/>
            <w:noWrap w:val="0"/>
            <w:vAlign w:val="center"/>
          </w:tcPr>
          <w:p>
            <w:pPr>
              <w:spacing w:line="500" w:lineRule="exact"/>
              <w:jc w:val="center"/>
              <w:rPr>
                <w:rFonts w:eastAsia="仿宋_GB2312"/>
                <w:sz w:val="24"/>
              </w:rPr>
            </w:pPr>
            <w:r>
              <w:rPr>
                <w:rFonts w:hint="eastAsia" w:eastAsia="仿宋_GB2312"/>
                <w:sz w:val="24"/>
              </w:rPr>
              <w:t>排放口数量</w:t>
            </w:r>
          </w:p>
        </w:tc>
        <w:tc>
          <w:tcPr>
            <w:tcW w:w="7300" w:type="dxa"/>
            <w:gridSpan w:val="16"/>
            <w:noWrap w:val="0"/>
            <w:vAlign w:val="to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65"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654" w:type="dxa"/>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99"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772"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1125" w:type="dxa"/>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restart"/>
            <w:noWrap w:val="0"/>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排放口1</w:t>
            </w:r>
          </w:p>
        </w:tc>
        <w:tc>
          <w:tcPr>
            <w:tcW w:w="1087" w:type="dxa"/>
            <w:gridSpan w:val="3"/>
            <w:vMerge w:val="restart"/>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经度116°1′56.71″，纬度39°</w:t>
            </w:r>
          </w:p>
        </w:tc>
        <w:tc>
          <w:tcPr>
            <w:tcW w:w="829" w:type="dxa"/>
            <w:gridSpan w:val="2"/>
            <w:vMerge w:val="restart"/>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纳管</w:t>
            </w: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PH</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6.87</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自动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6-9</w:t>
            </w:r>
          </w:p>
        </w:tc>
        <w:tc>
          <w:tcPr>
            <w:tcW w:w="752"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 xml:space="preserve">  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动植物油</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0.14</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100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石油类</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0.18</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3.0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总镍</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0.0499</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0.12</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0.44</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0.5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1125" w:type="dxa"/>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总铜</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0.056</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0.003</w:t>
            </w:r>
          </w:p>
        </w:tc>
        <w:tc>
          <w:tcPr>
            <w:tcW w:w="1062"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0.01</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0.5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1125" w:type="dxa"/>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总磷</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0.07</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1.0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COD</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20.76</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自动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87.63</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114.8</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80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1125" w:type="dxa"/>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氨氮</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0.054</w:t>
            </w:r>
          </w:p>
        </w:tc>
        <w:tc>
          <w:tcPr>
            <w:tcW w:w="784"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自动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24.38</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40.9</w:t>
            </w:r>
          </w:p>
        </w:tc>
        <w:tc>
          <w:tcPr>
            <w:tcW w:w="1936"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15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09" w:type="dxa"/>
            <w:gridSpan w:val="33"/>
            <w:noWrap w:val="0"/>
            <w:vAlign w:val="to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3309" w:type="dxa"/>
            <w:gridSpan w:val="33"/>
            <w:noWrap w:val="0"/>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959" w:type="dxa"/>
            <w:gridSpan w:val="16"/>
            <w:noWrap w:val="0"/>
            <w:vAlign w:val="center"/>
          </w:tcPr>
          <w:p>
            <w:pPr>
              <w:spacing w:line="6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排放口数量</w:t>
            </w:r>
          </w:p>
        </w:tc>
        <w:tc>
          <w:tcPr>
            <w:tcW w:w="7350" w:type="dxa"/>
            <w:gridSpan w:val="17"/>
            <w:noWrap w:val="0"/>
            <w:vAlign w:val="to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1125"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排放口3</w:t>
            </w:r>
          </w:p>
        </w:tc>
        <w:tc>
          <w:tcPr>
            <w:tcW w:w="1077" w:type="dxa"/>
            <w:gridSpan w:val="3"/>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经度116°1′56.03″纬度39°7′33.35″</w:t>
            </w:r>
          </w:p>
        </w:tc>
        <w:tc>
          <w:tcPr>
            <w:tcW w:w="822" w:type="dxa"/>
            <w:gridSpan w:val="2"/>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排环境</w:t>
            </w:r>
          </w:p>
        </w:tc>
        <w:tc>
          <w:tcPr>
            <w:tcW w:w="1289" w:type="dxa"/>
            <w:gridSpan w:val="4"/>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硫酸雾</w:t>
            </w:r>
          </w:p>
        </w:tc>
        <w:tc>
          <w:tcPr>
            <w:tcW w:w="938" w:type="dxa"/>
            <w:gridSpan w:val="2"/>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未检出</w:t>
            </w:r>
          </w:p>
        </w:tc>
        <w:tc>
          <w:tcPr>
            <w:tcW w:w="779" w:type="dxa"/>
            <w:gridSpan w:val="4"/>
            <w:noWrap w:val="0"/>
            <w:vAlign w:val="top"/>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p>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2021/6/24</w:t>
            </w:r>
          </w:p>
        </w:tc>
        <w:tc>
          <w:tcPr>
            <w:tcW w:w="704" w:type="dxa"/>
            <w:gridSpan w:val="2"/>
            <w:noWrap w:val="0"/>
            <w:vAlign w:val="top"/>
          </w:tcPr>
          <w:p>
            <w:pPr>
              <w:widowControl/>
              <w:spacing w:before="100" w:beforeAutospacing="1" w:after="100" w:afterAutospacing="1"/>
              <w:jc w:val="both"/>
              <w:rPr>
                <w:rFonts w:hint="eastAsia" w:ascii="Times New Roman" w:hAnsi="Times New Roman" w:eastAsia="仿宋_GB2312"/>
                <w:sz w:val="21"/>
                <w:szCs w:val="21"/>
                <w:highlight w:val="none"/>
                <w:lang w:val="en-US" w:eastAsia="zh-CN"/>
              </w:rPr>
            </w:pPr>
          </w:p>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手动</w:t>
            </w:r>
          </w:p>
        </w:tc>
        <w:tc>
          <w:tcPr>
            <w:tcW w:w="938" w:type="dxa"/>
            <w:gridSpan w:val="2"/>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w:t>
            </w:r>
          </w:p>
        </w:tc>
        <w:tc>
          <w:tcPr>
            <w:tcW w:w="1055" w:type="dxa"/>
            <w:gridSpan w:val="4"/>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w:t>
            </w:r>
          </w:p>
        </w:tc>
        <w:tc>
          <w:tcPr>
            <w:tcW w:w="2038" w:type="dxa"/>
            <w:gridSpan w:val="4"/>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30mg/Nm³</w:t>
            </w:r>
          </w:p>
        </w:tc>
        <w:tc>
          <w:tcPr>
            <w:tcW w:w="746" w:type="dxa"/>
            <w:gridSpan w:val="3"/>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否</w:t>
            </w:r>
          </w:p>
        </w:tc>
        <w:tc>
          <w:tcPr>
            <w:tcW w:w="744" w:type="dxa"/>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否</w:t>
            </w:r>
          </w:p>
        </w:tc>
        <w:tc>
          <w:tcPr>
            <w:tcW w:w="1125" w:type="dxa"/>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09" w:type="dxa"/>
            <w:gridSpan w:val="33"/>
            <w:noWrap w:val="0"/>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noWrap w:val="0"/>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noWrap w:val="0"/>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noWrap w:val="0"/>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2000" w:type="dxa"/>
            <w:gridSpan w:val="4"/>
            <w:noWrap w:val="0"/>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jc w:val="center"/>
              <w:rPr>
                <w:rFonts w:hint="default" w:eastAsia="仿宋_GB2312"/>
                <w:sz w:val="24"/>
                <w:highlight w:val="none"/>
                <w:lang w:val="en-US" w:eastAsia="zh-CN"/>
              </w:rPr>
            </w:pPr>
            <w:r>
              <w:rPr>
                <w:rFonts w:hint="eastAsia" w:eastAsia="仿宋_GB2312"/>
                <w:sz w:val="24"/>
                <w:highlight w:val="none"/>
                <w:lang w:val="en-US" w:eastAsia="zh-CN"/>
              </w:rPr>
              <w:t>电镀污泥</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highlight w:val="none"/>
                <w:lang w:val="en-US" w:eastAsia="zh-CN"/>
              </w:rPr>
            </w:pPr>
            <w:r>
              <w:rPr>
                <w:rFonts w:hint="eastAsia" w:eastAsia="仿宋_GB2312"/>
                <w:sz w:val="24"/>
                <w:highlight w:val="none"/>
                <w:lang w:val="en-US" w:eastAsia="zh-CN"/>
              </w:rPr>
              <w:t>是</w:t>
            </w:r>
          </w:p>
        </w:tc>
        <w:tc>
          <w:tcPr>
            <w:tcW w:w="1970" w:type="dxa"/>
            <w:gridSpan w:val="7"/>
            <w:noWrap w:val="0"/>
            <w:vAlign w:val="center"/>
          </w:tcPr>
          <w:p>
            <w:pPr>
              <w:widowControl/>
              <w:spacing w:before="100" w:beforeAutospacing="1" w:after="100" w:afterAutospacing="1"/>
              <w:ind w:left="-105"/>
              <w:jc w:val="center"/>
              <w:rPr>
                <w:rFonts w:hint="default" w:eastAsia="仿宋_GB2312"/>
                <w:sz w:val="24"/>
                <w:highlight w:val="none"/>
                <w:lang w:val="en-US" w:eastAsia="zh-CN"/>
              </w:rPr>
            </w:pPr>
            <w:r>
              <w:rPr>
                <w:rFonts w:hint="eastAsia" w:eastAsia="仿宋_GB2312"/>
                <w:sz w:val="24"/>
                <w:highlight w:val="none"/>
                <w:lang w:val="en-US" w:eastAsia="zh-CN"/>
              </w:rPr>
              <w:t>委托处置</w:t>
            </w:r>
          </w:p>
        </w:tc>
        <w:tc>
          <w:tcPr>
            <w:tcW w:w="2265" w:type="dxa"/>
            <w:gridSpan w:val="7"/>
            <w:noWrap w:val="0"/>
            <w:vAlign w:val="center"/>
          </w:tcPr>
          <w:p>
            <w:pPr>
              <w:widowControl/>
              <w:spacing w:before="100" w:beforeAutospacing="1" w:after="100" w:afterAutospacing="1"/>
              <w:ind w:left="-105"/>
              <w:jc w:val="center"/>
              <w:rPr>
                <w:rFonts w:hint="default" w:eastAsia="仿宋_GB2312"/>
                <w:sz w:val="24"/>
                <w:highlight w:val="none"/>
                <w:lang w:val="en-US" w:eastAsia="zh-CN"/>
              </w:rPr>
            </w:pPr>
            <w:r>
              <w:rPr>
                <w:rFonts w:hint="eastAsia" w:eastAsia="仿宋_GB2312"/>
                <w:sz w:val="24"/>
                <w:highlight w:val="none"/>
                <w:lang w:val="en-US" w:eastAsia="zh-CN"/>
              </w:rPr>
              <w:t>11.8857</w:t>
            </w:r>
          </w:p>
        </w:tc>
        <w:tc>
          <w:tcPr>
            <w:tcW w:w="1713" w:type="dxa"/>
            <w:gridSpan w:val="4"/>
            <w:noWrap w:val="0"/>
            <w:vAlign w:val="center"/>
          </w:tcPr>
          <w:p>
            <w:pPr>
              <w:widowControl/>
              <w:spacing w:before="100" w:beforeAutospacing="1" w:after="100" w:afterAutospacing="1"/>
              <w:jc w:val="center"/>
              <w:rPr>
                <w:rFonts w:hint="default" w:eastAsia="仿宋_GB2312"/>
                <w:sz w:val="24"/>
                <w:highlight w:val="none"/>
                <w:lang w:val="en-US" w:eastAsia="zh-CN"/>
              </w:rPr>
            </w:pPr>
            <w:r>
              <w:rPr>
                <w:rFonts w:hint="eastAsia" w:eastAsia="仿宋_GB2312"/>
                <w:sz w:val="24"/>
                <w:highlight w:val="none"/>
                <w:lang w:val="en-US" w:eastAsia="zh-CN"/>
              </w:rPr>
              <w:t>涞水金隅冀东环保科技有限公司</w:t>
            </w:r>
          </w:p>
        </w:tc>
        <w:tc>
          <w:tcPr>
            <w:tcW w:w="1696" w:type="dxa"/>
            <w:gridSpan w:val="3"/>
            <w:noWrap w:val="0"/>
            <w:vAlign w:val="center"/>
          </w:tcPr>
          <w:p>
            <w:pPr>
              <w:widowControl/>
              <w:spacing w:before="100" w:beforeAutospacing="1" w:after="100" w:afterAutospacing="1"/>
              <w:jc w:val="center"/>
              <w:rPr>
                <w:rFonts w:hint="default" w:eastAsia="仿宋_GB2312"/>
                <w:sz w:val="24"/>
                <w:highlight w:val="none"/>
                <w:lang w:val="en-US" w:eastAsia="zh-CN"/>
              </w:rPr>
            </w:pPr>
            <w:r>
              <w:rPr>
                <w:rFonts w:hint="eastAsia" w:eastAsia="仿宋_GB2312"/>
                <w:sz w:val="24"/>
                <w:highlight w:val="none"/>
                <w:lang w:val="en-US" w:eastAsia="zh-CN"/>
              </w:rPr>
              <w:t>否</w:t>
            </w:r>
          </w:p>
        </w:tc>
        <w:tc>
          <w:tcPr>
            <w:tcW w:w="2000" w:type="dxa"/>
            <w:gridSpan w:val="4"/>
            <w:noWrap w:val="0"/>
            <w:vAlign w:val="center"/>
          </w:tcPr>
          <w:p>
            <w:pPr>
              <w:widowControl/>
              <w:spacing w:before="100" w:beforeAutospacing="1" w:after="100" w:afterAutospacing="1"/>
              <w:jc w:val="cente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监测废液</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委托处置</w:t>
            </w:r>
          </w:p>
        </w:tc>
        <w:tc>
          <w:tcPr>
            <w:tcW w:w="2265" w:type="dxa"/>
            <w:gridSpan w:val="7"/>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0.1247</w:t>
            </w:r>
          </w:p>
        </w:tc>
        <w:tc>
          <w:tcPr>
            <w:tcW w:w="1713" w:type="dxa"/>
            <w:gridSpan w:val="4"/>
            <w:noWrap w:val="0"/>
            <w:vAlign w:val="center"/>
          </w:tcPr>
          <w:p>
            <w:pPr>
              <w:widowControl/>
              <w:spacing w:before="100" w:beforeAutospacing="1" w:after="100" w:afterAutospacing="1"/>
              <w:jc w:val="left"/>
              <w:rPr>
                <w:rFonts w:hint="default" w:eastAsia="仿宋_GB2312"/>
                <w:sz w:val="24"/>
                <w:lang w:val="en-US" w:eastAsia="zh-CN"/>
              </w:rPr>
            </w:pPr>
            <w:r>
              <w:rPr>
                <w:rFonts w:hint="eastAsia" w:eastAsia="仿宋_GB2312"/>
                <w:sz w:val="24"/>
                <w:lang w:val="en-US" w:eastAsia="zh-CN"/>
              </w:rPr>
              <w:t>河北风华环保服务有限公司</w:t>
            </w:r>
          </w:p>
        </w:tc>
        <w:tc>
          <w:tcPr>
            <w:tcW w:w="1696" w:type="dxa"/>
            <w:gridSpan w:val="3"/>
            <w:noWrap w:val="0"/>
            <w:vAlign w:val="center"/>
          </w:tcPr>
          <w:p>
            <w:pPr>
              <w:widowControl/>
              <w:spacing w:before="100" w:beforeAutospacing="1" w:after="100" w:afterAutospacing="1"/>
              <w:ind w:firstLine="720" w:firstLineChars="300"/>
              <w:jc w:val="left"/>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废滤芯</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0.006</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废活性炭</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0</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废树脂</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0</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废酸</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0.0442</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循环塔废水</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0</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3309" w:type="dxa"/>
            <w:gridSpan w:val="33"/>
            <w:noWrap w:val="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0"/>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9"/>
            <w:noWrap w:val="0"/>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69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2000" w:type="dxa"/>
            <w:gridSpan w:val="4"/>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noWrap w:val="0"/>
            <w:vAlign w:val="center"/>
          </w:tcPr>
          <w:p>
            <w:pPr>
              <w:widowControl/>
              <w:jc w:val="left"/>
              <w:rPr>
                <w:rFonts w:eastAsia="仿宋_GB2312"/>
                <w:color w:val="000000"/>
                <w:sz w:val="24"/>
              </w:rPr>
            </w:pPr>
          </w:p>
        </w:tc>
        <w:tc>
          <w:tcPr>
            <w:tcW w:w="1928"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noWrap w:val="0"/>
            <w:vAlign w:val="center"/>
          </w:tcPr>
          <w:p>
            <w:pPr>
              <w:widowControl/>
              <w:jc w:val="left"/>
              <w:rPr>
                <w:rFonts w:eastAsia="仿宋_GB2312"/>
                <w:color w:val="000000"/>
                <w:sz w:val="24"/>
              </w:rPr>
            </w:pPr>
          </w:p>
        </w:tc>
        <w:tc>
          <w:tcPr>
            <w:tcW w:w="1696" w:type="dxa"/>
            <w:gridSpan w:val="3"/>
            <w:vMerge w:val="continue"/>
            <w:noWrap w:val="0"/>
            <w:vAlign w:val="center"/>
          </w:tcPr>
          <w:p>
            <w:pPr>
              <w:widowControl/>
              <w:jc w:val="left"/>
              <w:rPr>
                <w:rFonts w:eastAsia="仿宋_GB2312"/>
                <w:color w:val="000000"/>
                <w:sz w:val="24"/>
              </w:rPr>
            </w:pPr>
          </w:p>
        </w:tc>
        <w:tc>
          <w:tcPr>
            <w:tcW w:w="2000" w:type="dxa"/>
            <w:gridSpan w:val="4"/>
            <w:vMerge w:val="continue"/>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东</w:t>
            </w:r>
          </w:p>
        </w:tc>
        <w:tc>
          <w:tcPr>
            <w:tcW w:w="1928" w:type="dxa"/>
            <w:gridSpan w:val="6"/>
            <w:noWrap w:val="0"/>
            <w:vAlign w:val="center"/>
          </w:tcPr>
          <w:p>
            <w:pPr>
              <w:widowControl/>
              <w:spacing w:before="100" w:beforeAutospacing="1" w:after="100" w:afterAutospacing="1"/>
              <w:jc w:val="center"/>
              <w:rPr>
                <w:rFonts w:hint="default" w:eastAsia="仿宋_GB2312"/>
                <w:color w:val="000000"/>
                <w:sz w:val="24"/>
                <w:lang w:val="en-US" w:eastAsia="zh-CN"/>
              </w:rPr>
            </w:pPr>
            <w:r>
              <w:rPr>
                <w:rFonts w:hint="eastAsia" w:eastAsia="仿宋_GB2312"/>
                <w:color w:val="000000"/>
                <w:sz w:val="24"/>
                <w:lang w:val="en-US" w:eastAsia="zh-CN"/>
              </w:rPr>
              <w:t>56.4</w:t>
            </w:r>
          </w:p>
        </w:tc>
        <w:tc>
          <w:tcPr>
            <w:tcW w:w="1884" w:type="dxa"/>
            <w:gridSpan w:val="5"/>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w:t>
            </w:r>
          </w:p>
        </w:tc>
        <w:tc>
          <w:tcPr>
            <w:tcW w:w="1217" w:type="dxa"/>
            <w:gridSpan w:val="5"/>
            <w:noWrap w:val="0"/>
            <w:vAlign w:val="center"/>
          </w:tcPr>
          <w:p>
            <w:pPr>
              <w:widowControl/>
              <w:spacing w:before="100" w:beforeAutospacing="1" w:after="100" w:afterAutospacing="1"/>
              <w:jc w:val="center"/>
              <w:rPr>
                <w:rFonts w:ascii="宋体" w:cs="宋体"/>
                <w:color w:val="000000"/>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2000" w:type="dxa"/>
            <w:gridSpan w:val="4"/>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南</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hint="eastAsia"/>
                <w:color w:val="000000"/>
                <w:sz w:val="24"/>
                <w:lang w:val="en-US" w:eastAsia="zh-CN"/>
              </w:rPr>
              <w:t>56.3</w:t>
            </w:r>
          </w:p>
        </w:tc>
        <w:tc>
          <w:tcPr>
            <w:tcW w:w="1884" w:type="dxa"/>
            <w:gridSpan w:val="5"/>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w:t>
            </w:r>
          </w:p>
        </w:tc>
        <w:tc>
          <w:tcPr>
            <w:tcW w:w="1217" w:type="dxa"/>
            <w:gridSpan w:val="5"/>
            <w:noWrap w:val="0"/>
            <w:vAlign w:val="center"/>
          </w:tcPr>
          <w:p>
            <w:pPr>
              <w:widowControl/>
              <w:spacing w:before="100" w:beforeAutospacing="1" w:after="100" w:afterAutospacing="1"/>
              <w:jc w:val="center"/>
              <w:rPr>
                <w:rFonts w:ascii="宋体" w:cs="宋体"/>
                <w:color w:val="000000"/>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2000" w:type="dxa"/>
            <w:gridSpan w:val="4"/>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西</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ascii="宋体" w:cs="宋体"/>
                <w:kern w:val="0"/>
                <w:sz w:val="24"/>
              </w:rPr>
              <w:t> </w:t>
            </w:r>
            <w:r>
              <w:rPr>
                <w:rFonts w:hint="eastAsia" w:ascii="宋体" w:cs="宋体"/>
                <w:kern w:val="0"/>
                <w:sz w:val="24"/>
                <w:lang w:val="en-US" w:eastAsia="zh-CN"/>
              </w:rPr>
              <w:t>57.0</w:t>
            </w:r>
          </w:p>
        </w:tc>
        <w:tc>
          <w:tcPr>
            <w:tcW w:w="1884" w:type="dxa"/>
            <w:gridSpan w:val="5"/>
            <w:noWrap w:val="0"/>
            <w:vAlign w:val="center"/>
          </w:tcPr>
          <w:p>
            <w:pPr>
              <w:widowControl/>
              <w:spacing w:before="100" w:beforeAutospacing="1" w:after="100" w:afterAutospacing="1"/>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217" w:type="dxa"/>
            <w:gridSpan w:val="5"/>
            <w:noWrap w:val="0"/>
            <w:vAlign w:val="center"/>
          </w:tcPr>
          <w:p>
            <w:pPr>
              <w:widowControl/>
              <w:spacing w:before="100" w:beforeAutospacing="1" w:after="100" w:afterAutospacing="1"/>
              <w:jc w:val="center"/>
              <w:rPr>
                <w:rFonts w:ascii="宋体" w:cs="宋体"/>
                <w:color w:val="000000"/>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2000" w:type="dxa"/>
            <w:gridSpan w:val="4"/>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北</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ascii="宋体" w:cs="宋体"/>
                <w:kern w:val="0"/>
                <w:sz w:val="24"/>
              </w:rPr>
              <w:t> </w:t>
            </w:r>
            <w:r>
              <w:rPr>
                <w:rFonts w:hint="eastAsia" w:ascii="宋体" w:cs="宋体"/>
                <w:kern w:val="0"/>
                <w:sz w:val="24"/>
                <w:lang w:val="en-US" w:eastAsia="zh-CN"/>
              </w:rPr>
              <w:t>62.6</w:t>
            </w:r>
          </w:p>
        </w:tc>
        <w:tc>
          <w:tcPr>
            <w:tcW w:w="1884" w:type="dxa"/>
            <w:gridSpan w:val="5"/>
            <w:noWrap w:val="0"/>
            <w:vAlign w:val="center"/>
          </w:tcPr>
          <w:p>
            <w:pPr>
              <w:widowControl/>
              <w:spacing w:before="100" w:beforeAutospacing="1" w:after="100" w:afterAutospacing="1"/>
              <w:jc w:val="center"/>
              <w:rPr>
                <w:rFonts w:hint="eastAsia" w:eastAsia="宋体"/>
                <w:lang w:val="en-US" w:eastAsia="zh-CN"/>
              </w:rPr>
            </w:pPr>
            <w:r>
              <w:rPr>
                <w:rFonts w:ascii="宋体" w:cs="宋体"/>
                <w:kern w:val="0"/>
                <w:sz w:val="24"/>
              </w:rPr>
              <w:t> </w:t>
            </w:r>
            <w:r>
              <w:rPr>
                <w:rFonts w:hint="eastAsia" w:ascii="宋体" w:cs="宋体"/>
                <w:kern w:val="0"/>
                <w:sz w:val="24"/>
                <w:lang w:val="en-US" w:eastAsia="zh-CN"/>
              </w:rPr>
              <w:t>/</w:t>
            </w:r>
          </w:p>
        </w:tc>
        <w:tc>
          <w:tcPr>
            <w:tcW w:w="1217" w:type="dxa"/>
            <w:gridSpan w:val="5"/>
            <w:noWrap w:val="0"/>
            <w:vAlign w:val="center"/>
          </w:tcPr>
          <w:p>
            <w:pPr>
              <w:widowControl/>
              <w:spacing w:before="100" w:beforeAutospacing="1" w:after="100" w:afterAutospacing="1"/>
              <w:jc w:val="center"/>
              <w:rPr>
                <w:rFonts w:ascii="宋体" w:cs="宋体"/>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sz w:val="24"/>
                <w:szCs w:val="24"/>
                <w:lang w:val="en-US" w:eastAsia="zh-CN"/>
              </w:rPr>
            </w:pPr>
            <w:r>
              <w:rPr>
                <w:rFonts w:hint="eastAsia" w:ascii="宋体" w:cs="宋体"/>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2000" w:type="dxa"/>
            <w:gridSpan w:val="4"/>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pStyle w:val="16"/>
              <w:rPr>
                <w:rFonts w:ascii="宋体" w:cs="宋体"/>
                <w:kern w:val="0"/>
                <w:sz w:val="24"/>
              </w:rPr>
            </w:pPr>
          </w:p>
        </w:tc>
        <w:tc>
          <w:tcPr>
            <w:tcW w:w="1928" w:type="dxa"/>
            <w:gridSpan w:val="6"/>
            <w:noWrap w:val="0"/>
            <w:vAlign w:val="center"/>
          </w:tcPr>
          <w:p>
            <w:pPr>
              <w:widowControl/>
              <w:spacing w:before="100" w:beforeAutospacing="1" w:after="100" w:afterAutospacing="1"/>
              <w:jc w:val="center"/>
              <w:rPr>
                <w:rFonts w:ascii="宋体" w:cs="宋体"/>
                <w:kern w:val="0"/>
                <w:sz w:val="24"/>
              </w:rPr>
            </w:pPr>
          </w:p>
        </w:tc>
        <w:tc>
          <w:tcPr>
            <w:tcW w:w="1884" w:type="dxa"/>
            <w:gridSpan w:val="5"/>
            <w:noWrap w:val="0"/>
            <w:vAlign w:val="center"/>
          </w:tcPr>
          <w:p>
            <w:pPr>
              <w:widowControl/>
              <w:spacing w:before="100" w:beforeAutospacing="1" w:after="100" w:afterAutospacing="1"/>
              <w:jc w:val="center"/>
              <w:rPr>
                <w:rFonts w:ascii="宋体" w:cs="宋体"/>
                <w:kern w:val="0"/>
                <w:sz w:val="24"/>
              </w:rPr>
            </w:pPr>
          </w:p>
        </w:tc>
        <w:tc>
          <w:tcPr>
            <w:tcW w:w="1217" w:type="dxa"/>
            <w:gridSpan w:val="5"/>
            <w:noWrap w:val="0"/>
            <w:vAlign w:val="center"/>
          </w:tcPr>
          <w:p>
            <w:pPr>
              <w:widowControl/>
              <w:spacing w:before="100" w:beforeAutospacing="1" w:after="100" w:afterAutospacing="1"/>
              <w:jc w:val="center"/>
              <w:rPr>
                <w:rFonts w:ascii="宋体" w:cs="宋体"/>
                <w:sz w:val="24"/>
                <w:szCs w:val="24"/>
              </w:rPr>
            </w:pPr>
          </w:p>
        </w:tc>
        <w:tc>
          <w:tcPr>
            <w:tcW w:w="1091" w:type="dxa"/>
            <w:gridSpan w:val="4"/>
            <w:noWrap w:val="0"/>
            <w:vAlign w:val="center"/>
          </w:tcPr>
          <w:p>
            <w:pPr>
              <w:widowControl/>
              <w:spacing w:before="100" w:beforeAutospacing="1" w:after="100" w:afterAutospacing="1"/>
              <w:jc w:val="center"/>
              <w:rPr>
                <w:rFonts w:ascii="宋体" w:cs="宋体"/>
                <w:sz w:val="24"/>
                <w:szCs w:val="24"/>
              </w:rPr>
            </w:pPr>
          </w:p>
        </w:tc>
        <w:tc>
          <w:tcPr>
            <w:tcW w:w="1707" w:type="dxa"/>
            <w:gridSpan w:val="3"/>
            <w:noWrap w:val="0"/>
            <w:vAlign w:val="center"/>
          </w:tcPr>
          <w:p>
            <w:pPr>
              <w:widowControl/>
              <w:spacing w:before="100" w:beforeAutospacing="1" w:after="100" w:afterAutospacing="1"/>
              <w:jc w:val="center"/>
              <w:rPr>
                <w:rFonts w:ascii="宋体" w:cs="宋体"/>
                <w:kern w:val="0"/>
                <w:sz w:val="24"/>
              </w:rPr>
            </w:pPr>
          </w:p>
        </w:tc>
        <w:tc>
          <w:tcPr>
            <w:tcW w:w="1696" w:type="dxa"/>
            <w:gridSpan w:val="3"/>
            <w:noWrap w:val="0"/>
            <w:vAlign w:val="center"/>
          </w:tcPr>
          <w:p>
            <w:pPr>
              <w:widowControl/>
              <w:spacing w:before="100" w:beforeAutospacing="1" w:after="100" w:afterAutospacing="1"/>
              <w:jc w:val="center"/>
              <w:rPr>
                <w:rFonts w:hint="eastAsia" w:ascii="宋体" w:cs="宋体"/>
                <w:kern w:val="0"/>
                <w:sz w:val="24"/>
                <w:lang w:val="en-US" w:eastAsia="zh-CN"/>
              </w:rPr>
            </w:pPr>
          </w:p>
        </w:tc>
        <w:tc>
          <w:tcPr>
            <w:tcW w:w="2000" w:type="dxa"/>
            <w:gridSpan w:val="4"/>
            <w:noWrap w:val="0"/>
            <w:vAlign w:val="center"/>
          </w:tcPr>
          <w:p>
            <w:pPr>
              <w:widowControl/>
              <w:spacing w:before="100" w:beforeAutospacing="1" w:after="100" w:afterAutospacing="1"/>
              <w:jc w:val="center"/>
              <w:rPr>
                <w:rFonts w:ascii="宋体" w:cs="宋体"/>
                <w:kern w:val="0"/>
                <w:sz w:val="24"/>
              </w:rPr>
            </w:pPr>
          </w:p>
        </w:tc>
      </w:tr>
    </w:tbl>
    <w:p>
      <w:pPr>
        <w:numPr>
          <w:ilvl w:val="0"/>
          <w:numId w:val="1"/>
        </w:numPr>
        <w:spacing w:line="560" w:lineRule="exact"/>
        <w:ind w:firstLine="320" w:firstLineChars="100"/>
        <w:jc w:val="left"/>
        <w:rPr>
          <w:rFonts w:hint="eastAsia" w:eastAsia="黑体"/>
          <w:sz w:val="32"/>
          <w:szCs w:val="32"/>
        </w:rPr>
      </w:pPr>
      <w:r>
        <w:rPr>
          <w:rFonts w:hint="eastAsia" w:eastAsia="黑体"/>
          <w:sz w:val="32"/>
          <w:szCs w:val="32"/>
        </w:rPr>
        <w:t>防治污染设施的建设和运行情况</w:t>
      </w:r>
    </w:p>
    <w:p>
      <w:pPr>
        <w:pStyle w:val="16"/>
        <w:numPr>
          <w:ilvl w:val="0"/>
          <w:numId w:val="0"/>
        </w:numPr>
      </w:pPr>
    </w:p>
    <w:tbl>
      <w:tblPr>
        <w:tblStyle w:val="13"/>
        <w:tblW w:w="13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927"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污水处理站</w:t>
            </w:r>
          </w:p>
        </w:tc>
        <w:tc>
          <w:tcPr>
            <w:tcW w:w="155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2002a</w:t>
            </w:r>
          </w:p>
        </w:tc>
        <w:tc>
          <w:tcPr>
            <w:tcW w:w="170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70t/d</w:t>
            </w:r>
          </w:p>
        </w:tc>
        <w:tc>
          <w:tcPr>
            <w:tcW w:w="2126"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正常</w:t>
            </w:r>
          </w:p>
        </w:tc>
        <w:tc>
          <w:tcPr>
            <w:tcW w:w="1927" w:type="dxa"/>
            <w:noWrap w:val="0"/>
            <w:vAlign w:val="center"/>
          </w:tcPr>
          <w:p>
            <w:pPr>
              <w:widowControl/>
              <w:spacing w:before="100" w:beforeAutospacing="1" w:after="100" w:afterAutospacing="1"/>
              <w:jc w:val="center"/>
              <w:rPr>
                <w:rFonts w:hint="default" w:eastAsia="仿宋_GB2312"/>
                <w:sz w:val="24"/>
                <w:lang w:val="en-US" w:eastAsia="zh-CN"/>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highlight w:val="yellow"/>
                <w:lang w:val="en-US" w:eastAsia="zh-CN" w:bidi="ar-SA"/>
              </w:rPr>
            </w:pPr>
            <w:r>
              <w:rPr>
                <w:rFonts w:hint="eastAsia" w:eastAsia="仿宋_GB2312"/>
                <w:sz w:val="24"/>
                <w:highlight w:val="none"/>
                <w:lang w:val="en-US" w:eastAsia="zh-CN"/>
              </w:rPr>
              <w:t>酸雾塔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2017a</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3000m³/h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正常</w:t>
            </w:r>
          </w:p>
        </w:tc>
        <w:tc>
          <w:tcPr>
            <w:tcW w:w="1927"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highlight w:val="yellow"/>
                <w:lang w:val="en-US" w:eastAsia="zh-CN"/>
              </w:rPr>
            </w:pP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927" w:type="dxa"/>
            <w:noWrap w:val="0"/>
            <w:vAlign w:val="center"/>
          </w:tcPr>
          <w:p>
            <w:pPr>
              <w:tabs>
                <w:tab w:val="center" w:pos="915"/>
                <w:tab w:val="right" w:pos="1816"/>
              </w:tabs>
              <w:spacing w:line="560" w:lineRule="exact"/>
              <w:ind w:left="-105" w:leftChars="-50" w:right="-105" w:rightChars="-50"/>
              <w:jc w:val="left"/>
              <w:rPr>
                <w:rFonts w:eastAsia="仿宋_GB2312"/>
                <w:sz w:val="24"/>
              </w:rPr>
            </w:pPr>
            <w:r>
              <w:rPr>
                <w:rFonts w:hint="eastAsia" w:eastAsia="仿宋_GB2312"/>
                <w:sz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highlight w:val="yellow"/>
                <w:lang w:val="en-US" w:eastAsia="zh-CN"/>
              </w:rPr>
            </w:pP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危险废物贮存室</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2002a</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30t</w:t>
            </w:r>
          </w:p>
        </w:tc>
        <w:tc>
          <w:tcPr>
            <w:tcW w:w="2126" w:type="dxa"/>
            <w:noWrap w:val="0"/>
            <w:vAlign w:val="center"/>
          </w:tcPr>
          <w:p>
            <w:pPr>
              <w:spacing w:line="560" w:lineRule="exact"/>
              <w:ind w:right="-105" w:rightChars="-50" w:firstLine="720" w:firstLineChars="300"/>
              <w:jc w:val="both"/>
              <w:rPr>
                <w:rFonts w:hint="default" w:eastAsia="仿宋_GB2312"/>
                <w:sz w:val="24"/>
                <w:lang w:val="en-US" w:eastAsia="zh-CN"/>
              </w:rPr>
            </w:pPr>
            <w:r>
              <w:rPr>
                <w:rFonts w:hint="eastAsia" w:eastAsia="仿宋_GB2312"/>
                <w:sz w:val="24"/>
                <w:lang w:val="en-US" w:eastAsia="zh-CN"/>
              </w:rPr>
              <w:t>正常</w:t>
            </w:r>
          </w:p>
        </w:tc>
        <w:tc>
          <w:tcPr>
            <w:tcW w:w="1927" w:type="dxa"/>
            <w:noWrap w:val="0"/>
            <w:vAlign w:val="center"/>
          </w:tcPr>
          <w:p>
            <w:pPr>
              <w:spacing w:line="560" w:lineRule="exact"/>
              <w:ind w:left="-105" w:leftChars="-50" w:right="-105" w:rightChars="-50"/>
              <w:jc w:val="center"/>
              <w:rPr>
                <w:rFonts w:eastAsia="仿宋_GB2312"/>
                <w:sz w:val="24"/>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危险废物贮存室2</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2002a</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7t</w:t>
            </w:r>
          </w:p>
        </w:tc>
        <w:tc>
          <w:tcPr>
            <w:tcW w:w="2126"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正常</w:t>
            </w:r>
          </w:p>
        </w:tc>
        <w:tc>
          <w:tcPr>
            <w:tcW w:w="1927"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0"/>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高碑店市白沟京泽压铸厂</w:t>
            </w:r>
          </w:p>
        </w:tc>
        <w:tc>
          <w:tcPr>
            <w:tcW w:w="2013"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河北省环境保护局</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2002/4/12</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冀环管[2002]101号</w:t>
            </w:r>
          </w:p>
        </w:tc>
        <w:tc>
          <w:tcPr>
            <w:tcW w:w="172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河北省环境保护局</w:t>
            </w:r>
          </w:p>
        </w:tc>
        <w:tc>
          <w:tcPr>
            <w:tcW w:w="153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2003/9/3</w:t>
            </w:r>
          </w:p>
        </w:tc>
        <w:tc>
          <w:tcPr>
            <w:tcW w:w="156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环验[2003]018号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729"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729"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0"/>
            <w:vAlign w:val="center"/>
          </w:tcPr>
          <w:p>
            <w:pPr>
              <w:spacing w:line="560" w:lineRule="exact"/>
              <w:ind w:left="-105" w:leftChars="-50" w:right="-105" w:rightChars="-50"/>
              <w:jc w:val="center"/>
              <w:rPr>
                <w:rFonts w:eastAsia="仿宋_GB2312"/>
                <w:sz w:val="24"/>
              </w:rPr>
            </w:pPr>
          </w:p>
        </w:tc>
      </w:tr>
    </w:tbl>
    <w:p>
      <w:pPr>
        <w:pStyle w:val="16"/>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0"/>
            <w:vAlign w:val="center"/>
          </w:tcPr>
          <w:p>
            <w:pPr>
              <w:spacing w:line="560" w:lineRule="exact"/>
              <w:jc w:val="center"/>
              <w:rPr>
                <w:rFonts w:eastAsia="仿宋_GB2312"/>
                <w:b/>
                <w:sz w:val="28"/>
                <w:szCs w:val="28"/>
                <w:highlight w:val="none"/>
              </w:rPr>
            </w:pPr>
            <w:r>
              <w:rPr>
                <w:rFonts w:hint="eastAsia" w:eastAsia="仿宋_GB2312"/>
                <w:b/>
                <w:sz w:val="28"/>
                <w:szCs w:val="28"/>
                <w:highlight w:val="none"/>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0"/>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备案部门</w:t>
            </w:r>
          </w:p>
        </w:tc>
        <w:tc>
          <w:tcPr>
            <w:tcW w:w="3453" w:type="dxa"/>
            <w:noWrap w:val="0"/>
            <w:vAlign w:val="center"/>
          </w:tcPr>
          <w:p>
            <w:pPr>
              <w:spacing w:line="560" w:lineRule="exact"/>
              <w:ind w:left="-105" w:leftChars="-50" w:right="-105" w:rightChars="-50"/>
              <w:jc w:val="center"/>
              <w:rPr>
                <w:rFonts w:hint="default" w:eastAsia="仿宋_GB2312"/>
                <w:sz w:val="24"/>
                <w:highlight w:val="none"/>
                <w:lang w:val="en-US" w:eastAsia="zh-CN"/>
              </w:rPr>
            </w:pPr>
            <w:r>
              <w:rPr>
                <w:rFonts w:hint="eastAsia" w:eastAsia="仿宋_GB2312"/>
                <w:sz w:val="24"/>
                <w:highlight w:val="none"/>
                <w:lang w:val="en-US" w:eastAsia="zh-CN"/>
              </w:rPr>
              <w:t>保定市生态环境局白沟新城分局</w:t>
            </w:r>
          </w:p>
        </w:tc>
        <w:tc>
          <w:tcPr>
            <w:tcW w:w="2449" w:type="dxa"/>
            <w:noWrap w:val="0"/>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备案时间</w:t>
            </w:r>
          </w:p>
        </w:tc>
        <w:tc>
          <w:tcPr>
            <w:tcW w:w="6124" w:type="dxa"/>
            <w:noWrap w:val="0"/>
            <w:vAlign w:val="center"/>
          </w:tcPr>
          <w:p>
            <w:pPr>
              <w:spacing w:line="560" w:lineRule="exact"/>
              <w:ind w:left="-105" w:leftChars="-50" w:right="-105" w:rightChars="-50"/>
              <w:jc w:val="center"/>
              <w:rPr>
                <w:rFonts w:hint="default" w:eastAsia="仿宋_GB2312"/>
                <w:sz w:val="24"/>
                <w:highlight w:val="none"/>
                <w:lang w:val="en-US" w:eastAsia="zh-CN"/>
              </w:rPr>
            </w:pPr>
            <w:r>
              <w:rPr>
                <w:rFonts w:hint="eastAsia" w:eastAsia="仿宋_GB2312"/>
                <w:sz w:val="24"/>
                <w:highlight w:val="none"/>
                <w:lang w:val="en-US" w:eastAsia="zh-CN"/>
              </w:rPr>
              <w:t>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noWrap w:val="0"/>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主要内容</w:t>
            </w:r>
          </w:p>
        </w:tc>
        <w:tc>
          <w:tcPr>
            <w:tcW w:w="12026" w:type="dxa"/>
            <w:gridSpan w:val="3"/>
            <w:noWrap w:val="0"/>
            <w:vAlign w:val="center"/>
          </w:tcPr>
          <w:p>
            <w:pPr>
              <w:pStyle w:val="2"/>
              <w:widowControl/>
              <w:tabs>
                <w:tab w:val="right" w:leader="dot" w:pos="8505"/>
              </w:tabs>
              <w:spacing w:before="120" w:beforeLines="50" w:after="120" w:afterLines="50" w:line="360" w:lineRule="auto"/>
              <w:ind w:left="0" w:leftChars="0"/>
              <w:jc w:val="left"/>
              <w:outlineLvl w:val="0"/>
              <w:rPr>
                <w:b/>
                <w:bCs/>
                <w:sz w:val="24"/>
                <w:highlight w:val="none"/>
              </w:rPr>
            </w:pPr>
            <w:bookmarkStart w:id="0" w:name="_Toc50554710"/>
            <w:bookmarkStart w:id="1" w:name="_Toc27029"/>
            <w:r>
              <w:rPr>
                <w:b/>
                <w:bCs/>
                <w:sz w:val="24"/>
                <w:highlight w:val="none"/>
              </w:rPr>
              <w:t>1</w:t>
            </w:r>
            <w:r>
              <w:rPr>
                <w:rFonts w:hint="eastAsia"/>
                <w:b/>
                <w:bCs/>
                <w:sz w:val="24"/>
                <w:highlight w:val="none"/>
              </w:rPr>
              <w:t xml:space="preserve"> </w:t>
            </w:r>
            <w:r>
              <w:rPr>
                <w:b/>
                <w:bCs/>
                <w:sz w:val="24"/>
                <w:highlight w:val="none"/>
              </w:rPr>
              <w:t>总则</w:t>
            </w:r>
            <w:bookmarkEnd w:id="0"/>
            <w:bookmarkEnd w:id="1"/>
            <w:bookmarkStart w:id="2" w:name="_Toc177704410"/>
            <w:bookmarkStart w:id="3" w:name="_Toc306266589"/>
            <w:bookmarkStart w:id="4" w:name="_Toc313023142"/>
            <w:bookmarkStart w:id="5" w:name="_Toc268088057"/>
            <w:bookmarkStart w:id="6" w:name="_Toc304533413"/>
          </w:p>
          <w:p>
            <w:pPr>
              <w:spacing w:line="360" w:lineRule="auto"/>
              <w:ind w:firstLine="480" w:firstLineChars="200"/>
              <w:rPr>
                <w:highlight w:val="none"/>
              </w:rPr>
            </w:pPr>
            <w:r>
              <w:rPr>
                <w:rFonts w:hint="eastAsia"/>
                <w:sz w:val="24"/>
                <w:highlight w:val="none"/>
              </w:rPr>
              <w:t>突发环境事件应急预案是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w:t>
            </w:r>
            <w:bookmarkStart w:id="69" w:name="_GoBack"/>
            <w:bookmarkEnd w:id="69"/>
            <w:r>
              <w:rPr>
                <w:rFonts w:hint="eastAsia"/>
                <w:sz w:val="24"/>
                <w:highlight w:val="none"/>
              </w:rPr>
              <w:t>各级政府相关部门和我公司救援抢险队伍的衔接和联动体系，为我公司有效、快速应对环境污染，保障区域环境安全提供科学的应急机制和措施。</w:t>
            </w:r>
          </w:p>
          <w:p>
            <w:pPr>
              <w:pStyle w:val="4"/>
              <w:spacing w:before="0" w:after="0" w:line="360" w:lineRule="auto"/>
              <w:rPr>
                <w:rFonts w:ascii="Times New Roman" w:hAnsi="Times New Roman"/>
                <w:sz w:val="24"/>
                <w:szCs w:val="24"/>
                <w:highlight w:val="none"/>
              </w:rPr>
            </w:pPr>
            <w:bookmarkStart w:id="7" w:name="_Toc6637"/>
            <w:bookmarkStart w:id="8" w:name="_Toc5982"/>
            <w:bookmarkStart w:id="9" w:name="_Toc29305"/>
            <w:bookmarkStart w:id="10" w:name="_Toc15019"/>
            <w:bookmarkStart w:id="11" w:name="_Toc50554711"/>
            <w:bookmarkStart w:id="12" w:name="_Toc408734735"/>
            <w:r>
              <w:rPr>
                <w:rFonts w:ascii="Times New Roman" w:hAnsi="Times New Roman"/>
                <w:sz w:val="24"/>
                <w:szCs w:val="24"/>
                <w:highlight w:val="none"/>
              </w:rPr>
              <w:t>1.1</w:t>
            </w:r>
            <w:r>
              <w:rPr>
                <w:rFonts w:hint="eastAsia" w:ascii="Times New Roman" w:hAnsi="Times New Roman"/>
                <w:sz w:val="24"/>
                <w:szCs w:val="24"/>
                <w:highlight w:val="none"/>
              </w:rPr>
              <w:t xml:space="preserve"> </w:t>
            </w:r>
            <w:r>
              <w:rPr>
                <w:rFonts w:ascii="Times New Roman" w:hAnsi="Times New Roman"/>
                <w:sz w:val="24"/>
                <w:szCs w:val="24"/>
                <w:highlight w:val="none"/>
              </w:rPr>
              <w:t>编制目</w:t>
            </w:r>
            <w:bookmarkEnd w:id="2"/>
            <w:r>
              <w:rPr>
                <w:rFonts w:ascii="Times New Roman" w:hAnsi="Times New Roman"/>
                <w:sz w:val="24"/>
                <w:szCs w:val="24"/>
                <w:highlight w:val="none"/>
              </w:rPr>
              <w:t>的</w:t>
            </w:r>
            <w:bookmarkEnd w:id="3"/>
            <w:bookmarkEnd w:id="4"/>
            <w:bookmarkEnd w:id="5"/>
            <w:bookmarkEnd w:id="6"/>
            <w:bookmarkEnd w:id="7"/>
            <w:bookmarkEnd w:id="8"/>
            <w:bookmarkEnd w:id="9"/>
            <w:bookmarkEnd w:id="10"/>
            <w:bookmarkEnd w:id="11"/>
            <w:bookmarkEnd w:id="12"/>
          </w:p>
          <w:p>
            <w:pPr>
              <w:spacing w:line="360" w:lineRule="auto"/>
              <w:ind w:firstLine="480" w:firstLineChars="200"/>
              <w:rPr>
                <w:sz w:val="24"/>
                <w:highlight w:val="none"/>
              </w:rPr>
            </w:pPr>
            <w:bookmarkStart w:id="13" w:name="_Toc268088058"/>
            <w:r>
              <w:rPr>
                <w:sz w:val="24"/>
                <w:highlight w:val="none"/>
              </w:rPr>
              <w:t>为贯彻落实《中华人民共和国环境保护法》，《中华人民共和国突发事件应对法》、《国家突发环境事件应急预案》及《突发环境事件应急预案管理暂行办法》等相关法律、法规和规章要求，建立健全高碑店市白沟京泽五金饰件厂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除、降低突发环境事件的污染危害和影响，特制定本预案。</w:t>
            </w:r>
          </w:p>
          <w:p>
            <w:pPr>
              <w:pStyle w:val="4"/>
              <w:spacing w:before="0" w:after="0" w:line="360" w:lineRule="auto"/>
              <w:rPr>
                <w:rFonts w:ascii="Times New Roman" w:hAnsi="Times New Roman"/>
                <w:sz w:val="24"/>
                <w:szCs w:val="24"/>
                <w:highlight w:val="none"/>
              </w:rPr>
            </w:pPr>
            <w:bookmarkStart w:id="14" w:name="_Toc4019"/>
            <w:bookmarkStart w:id="15" w:name="_Toc50554712"/>
            <w:bookmarkStart w:id="16" w:name="_Toc306266590"/>
            <w:bookmarkStart w:id="17" w:name="_Toc304533414"/>
            <w:bookmarkStart w:id="18" w:name="_Toc408734736"/>
            <w:bookmarkStart w:id="19" w:name="_Toc15569"/>
            <w:bookmarkStart w:id="20" w:name="_Toc25242"/>
            <w:bookmarkStart w:id="21" w:name="_Toc313023143"/>
            <w:bookmarkStart w:id="22" w:name="_Toc10027"/>
            <w:r>
              <w:rPr>
                <w:rFonts w:ascii="Times New Roman" w:hAnsi="Times New Roman"/>
                <w:sz w:val="24"/>
                <w:szCs w:val="24"/>
                <w:highlight w:val="none"/>
              </w:rPr>
              <w:t>1.2</w:t>
            </w:r>
            <w:r>
              <w:rPr>
                <w:rFonts w:hint="eastAsia" w:ascii="Times New Roman" w:hAnsi="Times New Roman"/>
                <w:sz w:val="24"/>
                <w:szCs w:val="24"/>
                <w:highlight w:val="none"/>
              </w:rPr>
              <w:t xml:space="preserve"> </w:t>
            </w:r>
            <w:r>
              <w:rPr>
                <w:rFonts w:ascii="Times New Roman" w:hAnsi="Times New Roman"/>
                <w:sz w:val="24"/>
                <w:szCs w:val="24"/>
                <w:highlight w:val="none"/>
              </w:rPr>
              <w:t>编制依据</w:t>
            </w:r>
            <w:bookmarkEnd w:id="13"/>
            <w:bookmarkEnd w:id="14"/>
            <w:bookmarkEnd w:id="15"/>
            <w:bookmarkEnd w:id="16"/>
            <w:bookmarkEnd w:id="17"/>
            <w:bookmarkEnd w:id="18"/>
            <w:bookmarkEnd w:id="19"/>
            <w:bookmarkEnd w:id="20"/>
            <w:bookmarkEnd w:id="21"/>
            <w:bookmarkEnd w:id="22"/>
          </w:p>
          <w:p>
            <w:pPr>
              <w:spacing w:line="360" w:lineRule="auto"/>
              <w:ind w:firstLine="480" w:firstLineChars="200"/>
              <w:rPr>
                <w:sz w:val="24"/>
                <w:highlight w:val="none"/>
              </w:rPr>
            </w:pPr>
            <w:bookmarkStart w:id="23" w:name="_Toc313023144"/>
            <w:bookmarkStart w:id="24" w:name="_Toc306266591"/>
            <w:r>
              <w:rPr>
                <w:rFonts w:hint="eastAsia"/>
                <w:sz w:val="24"/>
                <w:highlight w:val="none"/>
              </w:rPr>
              <w:t>（1）</w:t>
            </w:r>
            <w:r>
              <w:rPr>
                <w:sz w:val="24"/>
                <w:highlight w:val="none"/>
              </w:rPr>
              <w:t>法律条文：</w:t>
            </w:r>
          </w:p>
          <w:p>
            <w:pPr>
              <w:spacing w:line="360" w:lineRule="auto"/>
              <w:ind w:firstLine="480" w:firstLineChars="200"/>
              <w:rPr>
                <w:sz w:val="24"/>
                <w:highlight w:val="none"/>
              </w:rPr>
            </w:pPr>
            <w:r>
              <w:rPr>
                <w:sz w:val="24"/>
                <w:highlight w:val="none"/>
              </w:rPr>
              <w:t>《中华人民共和国突发事件应对法》</w:t>
            </w:r>
            <w:r>
              <w:rPr>
                <w:rFonts w:hint="eastAsia"/>
                <w:sz w:val="24"/>
                <w:highlight w:val="none"/>
              </w:rPr>
              <w:t>（</w:t>
            </w:r>
            <w:r>
              <w:rPr>
                <w:rStyle w:val="41"/>
                <w:rFonts w:ascii="Times New Roman" w:hAnsi="Times New Roman"/>
                <w:sz w:val="24"/>
                <w:highlight w:val="none"/>
                <w:lang w:eastAsia="zh-CN"/>
              </w:rPr>
              <w:t>2007.11.1</w:t>
            </w:r>
            <w:r>
              <w:rPr>
                <w:rFonts w:hint="eastAsia"/>
                <w:sz w:val="24"/>
                <w:highlight w:val="none"/>
              </w:rPr>
              <w:t>）</w:t>
            </w:r>
          </w:p>
          <w:p>
            <w:pPr>
              <w:spacing w:line="360" w:lineRule="auto"/>
              <w:ind w:firstLine="480" w:firstLineChars="200"/>
              <w:rPr>
                <w:sz w:val="24"/>
                <w:highlight w:val="none"/>
              </w:rPr>
            </w:pPr>
            <w:r>
              <w:rPr>
                <w:sz w:val="24"/>
                <w:highlight w:val="none"/>
              </w:rPr>
              <w:t>《中华人民共和国环境保护法》</w:t>
            </w:r>
            <w:r>
              <w:rPr>
                <w:rFonts w:hint="eastAsia"/>
                <w:sz w:val="24"/>
                <w:highlight w:val="none"/>
              </w:rPr>
              <w:t>（</w:t>
            </w:r>
            <w:r>
              <w:rPr>
                <w:rStyle w:val="41"/>
                <w:rFonts w:ascii="Times New Roman" w:hAnsi="Times New Roman"/>
                <w:sz w:val="24"/>
                <w:highlight w:val="none"/>
                <w:lang w:eastAsia="zh-CN"/>
              </w:rPr>
              <w:t>2015.1.1</w:t>
            </w:r>
            <w:r>
              <w:rPr>
                <w:rFonts w:hint="eastAsia"/>
                <w:sz w:val="24"/>
                <w:highlight w:val="none"/>
              </w:rPr>
              <w:t>）</w:t>
            </w:r>
          </w:p>
          <w:p>
            <w:pPr>
              <w:spacing w:line="360" w:lineRule="auto"/>
              <w:ind w:firstLine="480" w:firstLineChars="200"/>
              <w:rPr>
                <w:sz w:val="24"/>
                <w:highlight w:val="none"/>
              </w:rPr>
            </w:pPr>
            <w:r>
              <w:rPr>
                <w:sz w:val="24"/>
                <w:highlight w:val="none"/>
              </w:rPr>
              <w:t>《中华人民共和国大气污染防治法》</w:t>
            </w:r>
            <w:r>
              <w:rPr>
                <w:rFonts w:hint="eastAsia"/>
                <w:sz w:val="24"/>
                <w:highlight w:val="none"/>
              </w:rPr>
              <w:t>（</w:t>
            </w:r>
            <w:r>
              <w:rPr>
                <w:rStyle w:val="41"/>
                <w:rFonts w:ascii="Times New Roman" w:hAnsi="Times New Roman"/>
                <w:sz w:val="24"/>
                <w:highlight w:val="none"/>
                <w:lang w:eastAsia="zh-CN"/>
              </w:rPr>
              <w:t>20</w:t>
            </w:r>
            <w:r>
              <w:rPr>
                <w:rStyle w:val="41"/>
                <w:rFonts w:hint="eastAsia" w:ascii="Times New Roman" w:hAnsi="Times New Roman" w:eastAsia="宋体"/>
                <w:sz w:val="24"/>
                <w:highlight w:val="none"/>
                <w:lang w:eastAsia="zh-CN"/>
              </w:rPr>
              <w:t>16</w:t>
            </w:r>
            <w:r>
              <w:rPr>
                <w:rStyle w:val="41"/>
                <w:rFonts w:ascii="Times New Roman" w:hAnsi="Times New Roman"/>
                <w:sz w:val="24"/>
                <w:highlight w:val="none"/>
                <w:lang w:eastAsia="zh-CN"/>
              </w:rPr>
              <w:t>.</w:t>
            </w:r>
            <w:r>
              <w:rPr>
                <w:rStyle w:val="41"/>
                <w:rFonts w:hint="eastAsia" w:ascii="Times New Roman" w:hAnsi="Times New Roman" w:eastAsia="宋体"/>
                <w:sz w:val="24"/>
                <w:highlight w:val="none"/>
                <w:lang w:eastAsia="zh-CN"/>
              </w:rPr>
              <w:t>1</w:t>
            </w:r>
            <w:r>
              <w:rPr>
                <w:rStyle w:val="41"/>
                <w:rFonts w:ascii="Times New Roman" w:hAnsi="Times New Roman"/>
                <w:sz w:val="24"/>
                <w:highlight w:val="none"/>
                <w:lang w:eastAsia="zh-CN"/>
              </w:rPr>
              <w:t>.1</w:t>
            </w:r>
            <w:r>
              <w:rPr>
                <w:rFonts w:hint="eastAsia"/>
                <w:sz w:val="24"/>
                <w:highlight w:val="none"/>
              </w:rPr>
              <w:t>）</w:t>
            </w:r>
          </w:p>
          <w:p>
            <w:pPr>
              <w:spacing w:line="360" w:lineRule="auto"/>
              <w:ind w:firstLine="480" w:firstLineChars="200"/>
              <w:rPr>
                <w:sz w:val="24"/>
                <w:highlight w:val="none"/>
              </w:rPr>
            </w:pPr>
            <w:r>
              <w:rPr>
                <w:sz w:val="24"/>
                <w:highlight w:val="none"/>
              </w:rPr>
              <w:t>《中华人民共和国水污染防治法》</w:t>
            </w:r>
            <w:r>
              <w:rPr>
                <w:rFonts w:hint="eastAsia"/>
                <w:sz w:val="24"/>
                <w:highlight w:val="none"/>
              </w:rPr>
              <w:t>（</w:t>
            </w:r>
            <w:r>
              <w:rPr>
                <w:rStyle w:val="41"/>
                <w:rFonts w:ascii="Times New Roman" w:hAnsi="Times New Roman"/>
                <w:sz w:val="24"/>
                <w:highlight w:val="none"/>
                <w:lang w:eastAsia="zh-CN"/>
              </w:rPr>
              <w:t>20</w:t>
            </w:r>
            <w:r>
              <w:rPr>
                <w:rStyle w:val="41"/>
                <w:rFonts w:hint="eastAsia" w:ascii="Times New Roman" w:hAnsi="Times New Roman"/>
                <w:sz w:val="24"/>
                <w:highlight w:val="none"/>
                <w:lang w:eastAsia="zh-CN"/>
              </w:rPr>
              <w:t>18</w:t>
            </w:r>
            <w:r>
              <w:rPr>
                <w:rStyle w:val="41"/>
                <w:rFonts w:ascii="Times New Roman" w:hAnsi="Times New Roman"/>
                <w:sz w:val="24"/>
                <w:highlight w:val="none"/>
                <w:lang w:eastAsia="zh-CN"/>
              </w:rPr>
              <w:t>.</w:t>
            </w:r>
            <w:r>
              <w:rPr>
                <w:rStyle w:val="41"/>
                <w:rFonts w:hint="eastAsia" w:ascii="Times New Roman" w:hAnsi="Times New Roman"/>
                <w:sz w:val="24"/>
                <w:highlight w:val="none"/>
                <w:lang w:eastAsia="zh-CN"/>
              </w:rPr>
              <w:t>1</w:t>
            </w:r>
            <w:r>
              <w:rPr>
                <w:rStyle w:val="41"/>
                <w:rFonts w:ascii="Times New Roman" w:hAnsi="Times New Roman"/>
                <w:sz w:val="24"/>
                <w:highlight w:val="none"/>
                <w:lang w:eastAsia="zh-CN"/>
              </w:rPr>
              <w:t>.</w:t>
            </w:r>
            <w:r>
              <w:rPr>
                <w:rStyle w:val="41"/>
                <w:rFonts w:hint="eastAsia" w:ascii="Times New Roman" w:hAnsi="Times New Roman"/>
                <w:sz w:val="24"/>
                <w:highlight w:val="none"/>
                <w:lang w:eastAsia="zh-CN"/>
              </w:rPr>
              <w:t>1</w:t>
            </w:r>
            <w:r>
              <w:rPr>
                <w:rFonts w:hint="eastAsia"/>
                <w:sz w:val="24"/>
                <w:highlight w:val="none"/>
              </w:rPr>
              <w:t>）</w:t>
            </w:r>
          </w:p>
          <w:p>
            <w:pPr>
              <w:spacing w:line="360" w:lineRule="auto"/>
              <w:ind w:firstLine="480" w:firstLineChars="200"/>
              <w:rPr>
                <w:sz w:val="24"/>
                <w:highlight w:val="none"/>
              </w:rPr>
            </w:pPr>
            <w:r>
              <w:rPr>
                <w:sz w:val="24"/>
                <w:highlight w:val="none"/>
              </w:rPr>
              <w:t>《中华人民共和国固体废物污染环境防治法》</w:t>
            </w:r>
            <w:r>
              <w:rPr>
                <w:rFonts w:hint="eastAsia"/>
                <w:sz w:val="24"/>
                <w:highlight w:val="none"/>
              </w:rPr>
              <w:t>（2015.4.24）</w:t>
            </w:r>
          </w:p>
          <w:p>
            <w:pPr>
              <w:spacing w:line="360" w:lineRule="auto"/>
              <w:ind w:firstLine="480" w:firstLineChars="200"/>
              <w:rPr>
                <w:sz w:val="24"/>
                <w:highlight w:val="none"/>
              </w:rPr>
            </w:pPr>
            <w:r>
              <w:rPr>
                <w:rFonts w:hint="eastAsia"/>
                <w:sz w:val="24"/>
                <w:highlight w:val="none"/>
              </w:rPr>
              <w:t>（2）</w:t>
            </w:r>
            <w:r>
              <w:rPr>
                <w:sz w:val="24"/>
                <w:highlight w:val="none"/>
              </w:rPr>
              <w:t>法规及规章标准条文：</w:t>
            </w:r>
          </w:p>
          <w:p>
            <w:pPr>
              <w:spacing w:line="360" w:lineRule="auto"/>
              <w:ind w:firstLine="480" w:firstLineChars="200"/>
              <w:rPr>
                <w:sz w:val="24"/>
                <w:highlight w:val="none"/>
              </w:rPr>
            </w:pPr>
            <w:r>
              <w:rPr>
                <w:sz w:val="24"/>
                <w:highlight w:val="none"/>
              </w:rPr>
              <w:t>《国家突发公共事件总体应急预案》</w:t>
            </w:r>
            <w:r>
              <w:rPr>
                <w:rFonts w:hint="eastAsia"/>
                <w:sz w:val="24"/>
                <w:highlight w:val="none"/>
              </w:rPr>
              <w:t>（</w:t>
            </w:r>
            <w:r>
              <w:rPr>
                <w:sz w:val="24"/>
                <w:highlight w:val="none"/>
              </w:rPr>
              <w:t>2006</w:t>
            </w:r>
            <w:r>
              <w:rPr>
                <w:rFonts w:hint="eastAsia"/>
                <w:sz w:val="24"/>
                <w:highlight w:val="none"/>
              </w:rPr>
              <w:t>.1.8）</w:t>
            </w:r>
          </w:p>
          <w:p>
            <w:pPr>
              <w:spacing w:line="360" w:lineRule="auto"/>
              <w:ind w:firstLine="480" w:firstLineChars="200"/>
              <w:rPr>
                <w:sz w:val="24"/>
                <w:highlight w:val="none"/>
              </w:rPr>
            </w:pPr>
            <w:r>
              <w:rPr>
                <w:sz w:val="24"/>
                <w:highlight w:val="none"/>
              </w:rPr>
              <w:t>《国家突发环境事件应急预案》</w:t>
            </w:r>
            <w:r>
              <w:rPr>
                <w:rFonts w:hint="eastAsia"/>
                <w:sz w:val="24"/>
                <w:highlight w:val="none"/>
              </w:rPr>
              <w:t>（</w:t>
            </w:r>
            <w:r>
              <w:rPr>
                <w:sz w:val="24"/>
                <w:highlight w:val="none"/>
              </w:rPr>
              <w:t>国务院令第34号令</w:t>
            </w:r>
            <w:r>
              <w:rPr>
                <w:rFonts w:hint="eastAsia"/>
                <w:sz w:val="24"/>
                <w:highlight w:val="none"/>
              </w:rPr>
              <w:t>）</w:t>
            </w:r>
          </w:p>
          <w:p>
            <w:pPr>
              <w:spacing w:line="360" w:lineRule="auto"/>
              <w:ind w:firstLine="480" w:firstLineChars="200"/>
              <w:rPr>
                <w:sz w:val="24"/>
                <w:highlight w:val="none"/>
              </w:rPr>
            </w:pPr>
            <w:bookmarkStart w:id="25" w:name="_Toc331596153"/>
            <w:r>
              <w:rPr>
                <w:sz w:val="24"/>
                <w:highlight w:val="none"/>
              </w:rPr>
              <w:t>《突发环境事件应急预案管理暂行办法》</w:t>
            </w:r>
            <w:bookmarkEnd w:id="25"/>
            <w:r>
              <w:rPr>
                <w:rFonts w:hint="eastAsia"/>
                <w:sz w:val="24"/>
                <w:highlight w:val="none"/>
              </w:rPr>
              <w:t>（</w:t>
            </w:r>
            <w:r>
              <w:rPr>
                <w:sz w:val="24"/>
                <w:highlight w:val="none"/>
              </w:rPr>
              <w:t>环发[2010]113号</w:t>
            </w:r>
            <w:r>
              <w:rPr>
                <w:rFonts w:hint="eastAsia"/>
                <w:sz w:val="24"/>
                <w:highlight w:val="none"/>
              </w:rPr>
              <w:t>）</w:t>
            </w:r>
          </w:p>
          <w:p>
            <w:pPr>
              <w:spacing w:line="360" w:lineRule="auto"/>
              <w:ind w:firstLine="480" w:firstLineChars="200"/>
              <w:rPr>
                <w:kern w:val="0"/>
                <w:sz w:val="24"/>
                <w:highlight w:val="none"/>
                <w:shd w:val="clear" w:color="auto" w:fill="FFFFFF"/>
              </w:rPr>
            </w:pPr>
            <w:r>
              <w:rPr>
                <w:kern w:val="0"/>
                <w:sz w:val="24"/>
                <w:highlight w:val="none"/>
                <w:shd w:val="clear" w:color="auto" w:fill="FFFFFF"/>
              </w:rPr>
              <w:t>《河北省突发事件预警信息发布管理办法》</w:t>
            </w:r>
          </w:p>
          <w:p>
            <w:pPr>
              <w:spacing w:line="360" w:lineRule="auto"/>
              <w:ind w:firstLine="480" w:firstLineChars="200"/>
              <w:rPr>
                <w:kern w:val="0"/>
                <w:sz w:val="24"/>
                <w:highlight w:val="none"/>
                <w:shd w:val="clear" w:color="auto" w:fill="FFFFFF"/>
              </w:rPr>
            </w:pPr>
            <w:r>
              <w:rPr>
                <w:sz w:val="24"/>
                <w:highlight w:val="none"/>
              </w:rPr>
              <w:t>《</w:t>
            </w:r>
            <w:r>
              <w:rPr>
                <w:sz w:val="24"/>
                <w:highlight w:val="none"/>
              </w:rPr>
              <w:fldChar w:fldCharType="begin"/>
            </w:r>
            <w:r>
              <w:rPr>
                <w:sz w:val="24"/>
                <w:highlight w:val="none"/>
              </w:rPr>
              <w:instrText xml:space="preserve"> HYPERLINK "http://www.baidu.com/link?url=LP_-AYSKtvQab6fe_6--19w9VmtASzPYjA3Jx_zQZifxq3CVIuu5JKFWn6UJoZkZTI6DwVqDdk82lPN0BEcecKfOMRSq9ZdmfBy7Ok6dXjVVECXMr4vT_EcrtwhBpckW-QjcsBR6mhl-Ho9BZzmFN7sSSdN3sQjUGGyPsUBTEB0-peDxaKDTUwXkM7TeocX2tL9mOale0mosFRIJXLzqBQlKBuJHa89hAM_RDncuxnBPlXAcw2BSiqTRERYyIJZTc2mrKuQQgVYiNwsfmipIs79kBmj98CT8YZxfCa-aB-zdvuOO5ui7DK-u_wyc37yI22vzv1aYHiJeVmgcqnk0z0dsxiZIQPGAo3byCaGwbn2J8esek7SaMINtS7MbWUEa" \t "_blank" </w:instrText>
            </w:r>
            <w:r>
              <w:rPr>
                <w:sz w:val="24"/>
                <w:highlight w:val="none"/>
              </w:rPr>
              <w:fldChar w:fldCharType="separate"/>
            </w:r>
            <w:r>
              <w:rPr>
                <w:rStyle w:val="15"/>
                <w:color w:val="auto"/>
                <w:sz w:val="24"/>
                <w:highlight w:val="none"/>
                <w:u w:val="none"/>
              </w:rPr>
              <w:t>企业事业单位突发环境事件应急预案备案管理办法</w:t>
            </w:r>
            <w:r>
              <w:rPr>
                <w:rStyle w:val="15"/>
                <w:rFonts w:hint="eastAsia"/>
                <w:color w:val="auto"/>
                <w:sz w:val="24"/>
                <w:highlight w:val="none"/>
                <w:u w:val="none"/>
              </w:rPr>
              <w:t>(</w:t>
            </w:r>
            <w:r>
              <w:rPr>
                <w:rStyle w:val="15"/>
                <w:color w:val="auto"/>
                <w:sz w:val="24"/>
                <w:highlight w:val="none"/>
                <w:u w:val="none"/>
              </w:rPr>
              <w:t>试行</w:t>
            </w:r>
            <w:r>
              <w:rPr>
                <w:rStyle w:val="15"/>
                <w:rFonts w:hint="eastAsia"/>
                <w:color w:val="auto"/>
                <w:sz w:val="24"/>
                <w:highlight w:val="none"/>
                <w:u w:val="none"/>
              </w:rPr>
              <w:t>)</w:t>
            </w:r>
            <w:r>
              <w:rPr>
                <w:sz w:val="24"/>
                <w:highlight w:val="none"/>
              </w:rPr>
              <w:fldChar w:fldCharType="end"/>
            </w:r>
            <w:r>
              <w:rPr>
                <w:sz w:val="24"/>
                <w:highlight w:val="none"/>
              </w:rPr>
              <w:t>》</w:t>
            </w:r>
          </w:p>
          <w:p>
            <w:pPr>
              <w:spacing w:line="360" w:lineRule="auto"/>
              <w:ind w:firstLine="480" w:firstLineChars="200"/>
              <w:rPr>
                <w:spacing w:val="-3"/>
                <w:kern w:val="0"/>
                <w:sz w:val="24"/>
                <w:highlight w:val="none"/>
                <w:shd w:val="clear" w:color="auto" w:fill="FFFFFF"/>
              </w:rPr>
            </w:pPr>
            <w:r>
              <w:rPr>
                <w:kern w:val="0"/>
                <w:sz w:val="24"/>
                <w:highlight w:val="none"/>
                <w:shd w:val="clear" w:color="auto" w:fill="FFFFFF"/>
              </w:rPr>
              <w:t>《河北省突发环境事件应急预案》</w:t>
            </w:r>
            <w:r>
              <w:rPr>
                <w:rFonts w:hint="eastAsia"/>
                <w:kern w:val="0"/>
                <w:sz w:val="24"/>
                <w:highlight w:val="none"/>
                <w:shd w:val="clear" w:color="auto" w:fill="FFFFFF"/>
              </w:rPr>
              <w:t>（</w:t>
            </w:r>
            <w:r>
              <w:rPr>
                <w:sz w:val="24"/>
                <w:highlight w:val="none"/>
                <w:shd w:val="clear" w:color="auto" w:fill="FFFFFF"/>
              </w:rPr>
              <w:t>冀政办[2006]3号</w:t>
            </w:r>
            <w:r>
              <w:rPr>
                <w:rFonts w:hint="eastAsia"/>
                <w:kern w:val="0"/>
                <w:sz w:val="24"/>
                <w:highlight w:val="none"/>
                <w:shd w:val="clear" w:color="auto" w:fill="FFFFFF"/>
              </w:rPr>
              <w:t>）</w:t>
            </w:r>
          </w:p>
          <w:p>
            <w:pPr>
              <w:spacing w:line="360" w:lineRule="auto"/>
              <w:ind w:firstLine="480" w:firstLineChars="200"/>
              <w:rPr>
                <w:sz w:val="24"/>
                <w:highlight w:val="none"/>
              </w:rPr>
            </w:pPr>
            <w:bookmarkStart w:id="26" w:name="_Toc332702313"/>
            <w:bookmarkStart w:id="27" w:name="_Toc332008290"/>
            <w:bookmarkStart w:id="28" w:name="_Toc403977329"/>
            <w:bookmarkStart w:id="29" w:name="_Toc335483176"/>
            <w:bookmarkStart w:id="30" w:name="_Toc332264814"/>
            <w:bookmarkStart w:id="31" w:name="_Toc331607652"/>
            <w:bookmarkStart w:id="32" w:name="_Toc331596154"/>
            <w:bookmarkStart w:id="33" w:name="_Toc334451358"/>
            <w:bookmarkStart w:id="34" w:name="_Toc334535979"/>
            <w:bookmarkStart w:id="35" w:name="_Toc335903625"/>
            <w:bookmarkStart w:id="36" w:name="_Toc340493610"/>
            <w:bookmarkStart w:id="37" w:name="_Toc11364"/>
            <w:bookmarkStart w:id="38" w:name="_Toc334608785"/>
            <w:bookmarkStart w:id="39" w:name="_Toc331607695"/>
            <w:bookmarkStart w:id="40" w:name="_Toc332719686"/>
            <w:bookmarkStart w:id="41" w:name="_Toc408734737"/>
            <w:bookmarkStart w:id="42" w:name="_Toc335483278"/>
            <w:bookmarkStart w:id="43" w:name="_Toc332264943"/>
            <w:r>
              <w:rPr>
                <w:sz w:val="24"/>
                <w:highlight w:val="none"/>
              </w:rPr>
              <w:t>《突发环境事件信息报告办法》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sz w:val="24"/>
                <w:highlight w:val="none"/>
              </w:rPr>
              <w:t>（</w:t>
            </w:r>
            <w:r>
              <w:rPr>
                <w:sz w:val="24"/>
                <w:highlight w:val="none"/>
              </w:rPr>
              <w:t>环保部令 第17号</w:t>
            </w:r>
            <w:r>
              <w:rPr>
                <w:rFonts w:hint="eastAsia"/>
                <w:sz w:val="24"/>
                <w:highlight w:val="none"/>
              </w:rPr>
              <w:t>）</w:t>
            </w:r>
          </w:p>
          <w:p>
            <w:pPr>
              <w:spacing w:line="360" w:lineRule="auto"/>
              <w:ind w:firstLine="480" w:firstLineChars="200"/>
              <w:rPr>
                <w:sz w:val="24"/>
                <w:highlight w:val="none"/>
              </w:rPr>
            </w:pPr>
            <w:r>
              <w:rPr>
                <w:sz w:val="24"/>
                <w:highlight w:val="none"/>
              </w:rPr>
              <w:t>《危险化学品</w:t>
            </w:r>
            <w:r>
              <w:rPr>
                <w:rFonts w:hint="eastAsia"/>
                <w:sz w:val="24"/>
                <w:highlight w:val="none"/>
              </w:rPr>
              <w:t>环保负责人</w:t>
            </w:r>
            <w:r>
              <w:rPr>
                <w:sz w:val="24"/>
                <w:highlight w:val="none"/>
              </w:rPr>
              <w:t>条例》</w:t>
            </w:r>
            <w:r>
              <w:rPr>
                <w:rFonts w:hint="eastAsia"/>
                <w:sz w:val="24"/>
                <w:highlight w:val="none"/>
              </w:rPr>
              <w:t>（</w:t>
            </w:r>
            <w:r>
              <w:rPr>
                <w:sz w:val="24"/>
                <w:highlight w:val="none"/>
              </w:rPr>
              <w:t>国务院令第591号</w:t>
            </w:r>
            <w:r>
              <w:rPr>
                <w:rFonts w:hint="eastAsia"/>
                <w:sz w:val="24"/>
                <w:highlight w:val="none"/>
              </w:rPr>
              <w:t>）</w:t>
            </w:r>
          </w:p>
          <w:p>
            <w:pPr>
              <w:spacing w:line="360" w:lineRule="auto"/>
              <w:ind w:firstLine="480" w:firstLineChars="200"/>
              <w:rPr>
                <w:sz w:val="24"/>
                <w:highlight w:val="none"/>
              </w:rPr>
            </w:pPr>
            <w:r>
              <w:rPr>
                <w:sz w:val="24"/>
                <w:highlight w:val="none"/>
              </w:rPr>
              <w:t>《危险化学品目录(2015版</w:t>
            </w:r>
            <w:r>
              <w:rPr>
                <w:rFonts w:hint="eastAsia"/>
                <w:sz w:val="24"/>
                <w:highlight w:val="none"/>
              </w:rPr>
              <w:t>)</w:t>
            </w:r>
            <w:r>
              <w:rPr>
                <w:sz w:val="24"/>
                <w:highlight w:val="none"/>
              </w:rPr>
              <w:t>》</w:t>
            </w:r>
            <w:r>
              <w:rPr>
                <w:rFonts w:hint="eastAsia"/>
                <w:sz w:val="24"/>
                <w:highlight w:val="none"/>
              </w:rPr>
              <w:t>（</w:t>
            </w:r>
            <w:r>
              <w:rPr>
                <w:rFonts w:eastAsia="sans-serif"/>
                <w:sz w:val="24"/>
                <w:highlight w:val="none"/>
                <w:shd w:val="clear" w:color="auto" w:fill="FFFFFF"/>
              </w:rPr>
              <w:t>安全监管总局会同工业和信息化部、公安部、环境保护部、交通运输部、农业部、国家卫生计生委、质检总局、铁路局、民航局</w:t>
            </w:r>
            <w:r>
              <w:rPr>
                <w:sz w:val="24"/>
                <w:highlight w:val="none"/>
                <w:shd w:val="clear" w:color="auto" w:fill="FFFFFF"/>
              </w:rPr>
              <w:t>公告2015第5号</w:t>
            </w:r>
            <w:r>
              <w:rPr>
                <w:rFonts w:hint="eastAsia"/>
                <w:sz w:val="24"/>
                <w:highlight w:val="none"/>
              </w:rPr>
              <w:t>）</w:t>
            </w:r>
          </w:p>
          <w:p>
            <w:pPr>
              <w:spacing w:line="360" w:lineRule="auto"/>
              <w:ind w:firstLine="480" w:firstLineChars="200"/>
              <w:rPr>
                <w:sz w:val="24"/>
                <w:highlight w:val="none"/>
              </w:rPr>
            </w:pPr>
            <w:r>
              <w:rPr>
                <w:sz w:val="24"/>
                <w:highlight w:val="none"/>
              </w:rPr>
              <w:t>《危险化学品重大危险源辨识》</w:t>
            </w:r>
            <w:r>
              <w:rPr>
                <w:rFonts w:hint="eastAsia"/>
                <w:sz w:val="24"/>
                <w:highlight w:val="none"/>
              </w:rPr>
              <w:t>（</w:t>
            </w:r>
            <w:r>
              <w:rPr>
                <w:sz w:val="24"/>
                <w:highlight w:val="none"/>
              </w:rPr>
              <w:t>GB18218-2014</w:t>
            </w:r>
            <w:r>
              <w:rPr>
                <w:rFonts w:hint="eastAsia"/>
                <w:sz w:val="24"/>
                <w:highlight w:val="none"/>
              </w:rPr>
              <w:t>）</w:t>
            </w:r>
          </w:p>
          <w:p>
            <w:pPr>
              <w:spacing w:line="360" w:lineRule="auto"/>
              <w:ind w:firstLine="480" w:firstLineChars="200"/>
              <w:rPr>
                <w:sz w:val="24"/>
                <w:highlight w:val="none"/>
              </w:rPr>
            </w:pPr>
            <w:r>
              <w:rPr>
                <w:sz w:val="24"/>
                <w:highlight w:val="none"/>
              </w:rPr>
              <w:t>《关于进一步做好突发环境事件应急预案备案工作的通知》</w:t>
            </w:r>
          </w:p>
          <w:p>
            <w:pPr>
              <w:spacing w:line="360" w:lineRule="auto"/>
              <w:ind w:firstLine="480" w:firstLineChars="200"/>
              <w:rPr>
                <w:sz w:val="24"/>
                <w:highlight w:val="none"/>
              </w:rPr>
            </w:pPr>
            <w:r>
              <w:rPr>
                <w:sz w:val="24"/>
                <w:highlight w:val="none"/>
              </w:rPr>
              <w:t>《建设项目环境风险评价技术导则》</w:t>
            </w:r>
            <w:r>
              <w:rPr>
                <w:rFonts w:hint="eastAsia"/>
                <w:sz w:val="24"/>
                <w:highlight w:val="none"/>
              </w:rPr>
              <w:t>（</w:t>
            </w:r>
            <w:r>
              <w:rPr>
                <w:sz w:val="24"/>
                <w:highlight w:val="none"/>
              </w:rPr>
              <w:t>HJ/T 169-2004</w:t>
            </w:r>
            <w:r>
              <w:rPr>
                <w:rFonts w:hint="eastAsia"/>
                <w:sz w:val="24"/>
                <w:highlight w:val="none"/>
              </w:rPr>
              <w:t>）</w:t>
            </w:r>
          </w:p>
          <w:p>
            <w:pPr>
              <w:spacing w:line="360" w:lineRule="auto"/>
              <w:ind w:firstLine="480" w:firstLineChars="200"/>
              <w:rPr>
                <w:sz w:val="24"/>
                <w:highlight w:val="none"/>
              </w:rPr>
            </w:pPr>
            <w:r>
              <w:rPr>
                <w:sz w:val="24"/>
                <w:highlight w:val="none"/>
              </w:rPr>
              <w:t>《关于进一步做好突发环境事件应急预案备案工作的通知</w:t>
            </w:r>
            <w:r>
              <w:rPr>
                <w:rFonts w:hint="eastAsia"/>
                <w:sz w:val="24"/>
                <w:highlight w:val="none"/>
              </w:rPr>
              <w:t>》（</w:t>
            </w:r>
            <w:r>
              <w:rPr>
                <w:sz w:val="24"/>
                <w:highlight w:val="none"/>
              </w:rPr>
              <w:t>冀环办发[2012]164号</w:t>
            </w:r>
            <w:r>
              <w:rPr>
                <w:rFonts w:hint="eastAsia"/>
                <w:sz w:val="24"/>
                <w:highlight w:val="none"/>
              </w:rPr>
              <w:t>）</w:t>
            </w:r>
          </w:p>
          <w:p>
            <w:pPr>
              <w:spacing w:line="360" w:lineRule="auto"/>
              <w:ind w:firstLine="480" w:firstLineChars="200"/>
              <w:rPr>
                <w:sz w:val="24"/>
                <w:highlight w:val="none"/>
              </w:rPr>
            </w:pPr>
            <w:r>
              <w:rPr>
                <w:sz w:val="24"/>
                <w:highlight w:val="none"/>
              </w:rPr>
              <w:t>《转发省环保厅关于进一步做好突发环境事件应急预案备案工作的通知》</w:t>
            </w:r>
            <w:r>
              <w:rPr>
                <w:rFonts w:hint="eastAsia"/>
                <w:sz w:val="24"/>
                <w:highlight w:val="none"/>
              </w:rPr>
              <w:t>（</w:t>
            </w:r>
            <w:r>
              <w:rPr>
                <w:sz w:val="24"/>
                <w:highlight w:val="none"/>
              </w:rPr>
              <w:t>[2012]保环119号</w:t>
            </w:r>
            <w:r>
              <w:rPr>
                <w:rFonts w:hint="eastAsia"/>
                <w:sz w:val="24"/>
                <w:highlight w:val="none"/>
              </w:rPr>
              <w:t>）</w:t>
            </w:r>
          </w:p>
          <w:p>
            <w:pPr>
              <w:spacing w:line="360" w:lineRule="auto"/>
              <w:ind w:firstLine="480" w:firstLineChars="200"/>
              <w:rPr>
                <w:sz w:val="24"/>
                <w:highlight w:val="none"/>
              </w:rPr>
            </w:pPr>
            <w:r>
              <w:rPr>
                <w:sz w:val="24"/>
                <w:highlight w:val="none"/>
              </w:rPr>
              <w:t>国家环境保护部关于印发《企业事业单位突发环境事件应急预案备案管理办法</w:t>
            </w:r>
            <w:r>
              <w:rPr>
                <w:rFonts w:hint="eastAsia"/>
                <w:sz w:val="24"/>
                <w:highlight w:val="none"/>
              </w:rPr>
              <w:t>(</w:t>
            </w:r>
            <w:r>
              <w:rPr>
                <w:sz w:val="24"/>
                <w:highlight w:val="none"/>
              </w:rPr>
              <w:t>试行</w:t>
            </w:r>
            <w:r>
              <w:rPr>
                <w:rFonts w:hint="eastAsia"/>
                <w:sz w:val="24"/>
                <w:highlight w:val="none"/>
              </w:rPr>
              <w:t>)</w:t>
            </w:r>
            <w:r>
              <w:rPr>
                <w:sz w:val="24"/>
                <w:highlight w:val="none"/>
              </w:rPr>
              <w:t>》的通知</w:t>
            </w:r>
            <w:r>
              <w:rPr>
                <w:rFonts w:hint="eastAsia"/>
                <w:sz w:val="24"/>
                <w:highlight w:val="none"/>
              </w:rPr>
              <w:t>（</w:t>
            </w:r>
            <w:r>
              <w:rPr>
                <w:sz w:val="24"/>
                <w:highlight w:val="none"/>
              </w:rPr>
              <w:t>环发[2015]4号</w:t>
            </w:r>
            <w:r>
              <w:rPr>
                <w:rFonts w:hint="eastAsia"/>
                <w:sz w:val="24"/>
                <w:highlight w:val="none"/>
              </w:rPr>
              <w:t>）</w:t>
            </w:r>
          </w:p>
          <w:p>
            <w:pPr>
              <w:spacing w:line="360" w:lineRule="auto"/>
              <w:ind w:firstLine="480" w:firstLineChars="200"/>
              <w:rPr>
                <w:rFonts w:hint="eastAsia"/>
                <w:color w:val="000000"/>
                <w:sz w:val="24"/>
                <w:highlight w:val="none"/>
              </w:rPr>
            </w:pPr>
            <w:r>
              <w:rPr>
                <w:sz w:val="24"/>
                <w:highlight w:val="none"/>
              </w:rPr>
              <w:t>国家环境保护部关于印发《企业突发环境事件风险评估指南</w:t>
            </w:r>
            <w:r>
              <w:rPr>
                <w:rFonts w:hint="eastAsia"/>
                <w:sz w:val="24"/>
                <w:highlight w:val="none"/>
              </w:rPr>
              <w:t>(</w:t>
            </w:r>
            <w:r>
              <w:rPr>
                <w:sz w:val="24"/>
                <w:highlight w:val="none"/>
              </w:rPr>
              <w:t>试行</w:t>
            </w:r>
            <w:r>
              <w:rPr>
                <w:rFonts w:hint="eastAsia"/>
                <w:sz w:val="24"/>
                <w:highlight w:val="none"/>
              </w:rPr>
              <w:t>)</w:t>
            </w:r>
            <w:r>
              <w:rPr>
                <w:sz w:val="24"/>
                <w:highlight w:val="none"/>
              </w:rPr>
              <w:t>》的通知</w:t>
            </w:r>
            <w:r>
              <w:rPr>
                <w:rFonts w:hint="eastAsia"/>
                <w:sz w:val="24"/>
                <w:highlight w:val="none"/>
              </w:rPr>
              <w:t>（</w:t>
            </w:r>
            <w:r>
              <w:rPr>
                <w:sz w:val="24"/>
                <w:highlight w:val="none"/>
              </w:rPr>
              <w:t>环发[</w:t>
            </w:r>
            <w:r>
              <w:rPr>
                <w:color w:val="000000"/>
                <w:sz w:val="24"/>
                <w:highlight w:val="none"/>
              </w:rPr>
              <w:t>2014]34号</w:t>
            </w:r>
            <w:r>
              <w:rPr>
                <w:rFonts w:hint="eastAsia"/>
                <w:color w:val="000000"/>
                <w:sz w:val="24"/>
                <w:highlight w:val="none"/>
              </w:rPr>
              <w:t>）</w:t>
            </w:r>
          </w:p>
          <w:p>
            <w:pPr>
              <w:pStyle w:val="2"/>
              <w:rPr>
                <w:color w:val="000000"/>
                <w:highlight w:val="none"/>
              </w:rPr>
            </w:pPr>
            <w:r>
              <w:rPr>
                <w:rFonts w:hint="eastAsia" w:ascii="Times New Roman" w:hAnsi="Times New Roman"/>
                <w:color w:val="000000"/>
                <w:sz w:val="24"/>
                <w:highlight w:val="none"/>
              </w:rPr>
              <w:t>《企业突发环境事件风险分级方法》（HJ941-2018）</w:t>
            </w:r>
          </w:p>
          <w:p>
            <w:pPr>
              <w:pStyle w:val="4"/>
              <w:spacing w:before="0" w:after="0" w:line="360" w:lineRule="auto"/>
              <w:rPr>
                <w:rFonts w:ascii="Times New Roman" w:hAnsi="Times New Roman"/>
                <w:sz w:val="24"/>
                <w:szCs w:val="24"/>
                <w:highlight w:val="none"/>
              </w:rPr>
            </w:pPr>
            <w:bookmarkStart w:id="44" w:name="_Toc50554713"/>
            <w:bookmarkStart w:id="45" w:name="_Toc1339"/>
            <w:bookmarkStart w:id="46" w:name="_Toc9473"/>
            <w:bookmarkStart w:id="47" w:name="_Toc9297"/>
            <w:bookmarkStart w:id="48" w:name="_Toc408734738"/>
            <w:bookmarkStart w:id="49" w:name="_Toc14715"/>
            <w:r>
              <w:rPr>
                <w:rFonts w:ascii="Times New Roman" w:hAnsi="Times New Roman"/>
                <w:sz w:val="24"/>
                <w:szCs w:val="24"/>
                <w:highlight w:val="none"/>
              </w:rPr>
              <w:t>1.3</w:t>
            </w:r>
            <w:r>
              <w:rPr>
                <w:rFonts w:hint="eastAsia" w:ascii="Times New Roman" w:hAnsi="Times New Roman"/>
                <w:sz w:val="24"/>
                <w:szCs w:val="24"/>
                <w:highlight w:val="none"/>
              </w:rPr>
              <w:t xml:space="preserve"> </w:t>
            </w:r>
            <w:r>
              <w:rPr>
                <w:rFonts w:ascii="Times New Roman" w:hAnsi="Times New Roman"/>
                <w:sz w:val="24"/>
                <w:szCs w:val="24"/>
                <w:highlight w:val="none"/>
              </w:rPr>
              <w:t>工作原则</w:t>
            </w:r>
            <w:bookmarkEnd w:id="23"/>
            <w:bookmarkEnd w:id="24"/>
            <w:bookmarkEnd w:id="44"/>
            <w:bookmarkEnd w:id="45"/>
            <w:bookmarkEnd w:id="46"/>
            <w:bookmarkEnd w:id="47"/>
            <w:bookmarkEnd w:id="48"/>
            <w:bookmarkEnd w:id="49"/>
          </w:p>
          <w:p>
            <w:pPr>
              <w:spacing w:line="360" w:lineRule="auto"/>
              <w:ind w:firstLine="480" w:firstLineChars="200"/>
              <w:rPr>
                <w:sz w:val="24"/>
                <w:highlight w:val="none"/>
              </w:rPr>
            </w:pPr>
            <w:bookmarkStart w:id="50" w:name="_Toc268088060"/>
            <w:r>
              <w:rPr>
                <w:sz w:val="24"/>
                <w:highlight w:val="none"/>
              </w:rPr>
              <w:t>以人为本，环保优先；预防为主，防控结合；快速响应，高效统一；就近处置，防止扩散；科学应急，损失最小；汲取经验，持续改进。</w:t>
            </w:r>
          </w:p>
          <w:bookmarkEnd w:id="50"/>
          <w:p>
            <w:pPr>
              <w:pStyle w:val="4"/>
              <w:spacing w:before="0" w:after="0" w:line="360" w:lineRule="auto"/>
              <w:rPr>
                <w:rFonts w:ascii="Times New Roman" w:hAnsi="Times New Roman"/>
                <w:sz w:val="24"/>
                <w:szCs w:val="24"/>
                <w:highlight w:val="none"/>
              </w:rPr>
            </w:pPr>
            <w:bookmarkStart w:id="51" w:name="_Toc313023145"/>
            <w:bookmarkStart w:id="52" w:name="_Toc408734739"/>
            <w:bookmarkStart w:id="53" w:name="_Toc50554714"/>
            <w:bookmarkStart w:id="54" w:name="_Toc13672"/>
            <w:bookmarkStart w:id="55" w:name="_Toc10018"/>
            <w:bookmarkStart w:id="56" w:name="_Toc15991"/>
            <w:bookmarkStart w:id="57" w:name="_Toc10233"/>
            <w:bookmarkStart w:id="58" w:name="_Toc306266592"/>
            <w:bookmarkStart w:id="59" w:name="_Toc268088061"/>
            <w:bookmarkStart w:id="60" w:name="_Toc304533416"/>
            <w:r>
              <w:rPr>
                <w:rFonts w:ascii="Times New Roman" w:hAnsi="Times New Roman"/>
                <w:sz w:val="24"/>
                <w:szCs w:val="24"/>
                <w:highlight w:val="none"/>
              </w:rPr>
              <w:t>1.4</w:t>
            </w:r>
            <w:r>
              <w:rPr>
                <w:rFonts w:hint="eastAsia" w:ascii="Times New Roman" w:hAnsi="Times New Roman"/>
                <w:sz w:val="24"/>
                <w:szCs w:val="24"/>
                <w:highlight w:val="none"/>
              </w:rPr>
              <w:t xml:space="preserve"> </w:t>
            </w:r>
            <w:r>
              <w:rPr>
                <w:rFonts w:ascii="Times New Roman" w:hAnsi="Times New Roman"/>
                <w:sz w:val="24"/>
                <w:szCs w:val="24"/>
                <w:highlight w:val="none"/>
              </w:rPr>
              <w:t>预案</w:t>
            </w:r>
            <w:bookmarkEnd w:id="51"/>
            <w:bookmarkEnd w:id="52"/>
            <w:r>
              <w:rPr>
                <w:rFonts w:ascii="Times New Roman" w:hAnsi="Times New Roman"/>
                <w:sz w:val="24"/>
                <w:szCs w:val="24"/>
                <w:highlight w:val="none"/>
              </w:rPr>
              <w:t>分级</w:t>
            </w:r>
            <w:bookmarkEnd w:id="53"/>
            <w:bookmarkEnd w:id="54"/>
            <w:bookmarkEnd w:id="55"/>
            <w:bookmarkEnd w:id="56"/>
            <w:bookmarkEnd w:id="57"/>
          </w:p>
          <w:p>
            <w:pPr>
              <w:pStyle w:val="2"/>
              <w:snapToGrid w:val="0"/>
              <w:spacing w:line="360" w:lineRule="auto"/>
              <w:ind w:left="0" w:leftChars="0" w:firstLine="480" w:firstLineChars="200"/>
              <w:rPr>
                <w:rFonts w:hint="eastAsia"/>
                <w:sz w:val="24"/>
                <w:highlight w:val="none"/>
              </w:rPr>
            </w:pPr>
            <w:r>
              <w:rPr>
                <w:kern w:val="0"/>
                <w:sz w:val="24"/>
                <w:highlight w:val="none"/>
                <w:shd w:val="clear" w:color="auto" w:fill="FFFFFF"/>
              </w:rPr>
              <w:t>依据</w:t>
            </w:r>
            <w:r>
              <w:rPr>
                <w:rFonts w:hint="eastAsia"/>
                <w:sz w:val="24"/>
                <w:highlight w:val="none"/>
              </w:rPr>
              <w:t>国家环境保护部关于印发</w:t>
            </w:r>
            <w:r>
              <w:rPr>
                <w:rFonts w:hint="eastAsia" w:ascii="Times New Roman" w:hAnsi="Times New Roman"/>
                <w:color w:val="000000"/>
                <w:sz w:val="24"/>
                <w:highlight w:val="none"/>
              </w:rPr>
              <w:t>《企业突发环境事件风险分级方法》（HJ941-2018）</w:t>
            </w:r>
            <w:r>
              <w:rPr>
                <w:kern w:val="0"/>
                <w:sz w:val="24"/>
                <w:highlight w:val="none"/>
                <w:shd w:val="clear" w:color="auto" w:fill="FFFFFF"/>
              </w:rPr>
              <w:t>，按照突发事件严重性和紧急程度，突发环境事件分为重大</w:t>
            </w:r>
            <w:r>
              <w:rPr>
                <w:rFonts w:hint="eastAsia"/>
                <w:kern w:val="0"/>
                <w:sz w:val="24"/>
                <w:highlight w:val="none"/>
                <w:shd w:val="clear" w:color="auto" w:fill="FFFFFF"/>
              </w:rPr>
              <w:t>环境风险（</w:t>
            </w:r>
            <w:r>
              <w:rPr>
                <w:kern w:val="0"/>
                <w:sz w:val="24"/>
                <w:highlight w:val="none"/>
                <w:shd w:val="clear" w:color="auto" w:fill="FFFFFF"/>
              </w:rPr>
              <w:fldChar w:fldCharType="begin"/>
            </w:r>
            <w:r>
              <w:rPr>
                <w:kern w:val="0"/>
                <w:sz w:val="24"/>
                <w:highlight w:val="none"/>
                <w:shd w:val="clear" w:color="auto" w:fill="FFFFFF"/>
              </w:rPr>
              <w:instrText xml:space="preserve"> </w:instrText>
            </w:r>
            <w:r>
              <w:rPr>
                <w:rFonts w:hint="eastAsia"/>
                <w:kern w:val="0"/>
                <w:sz w:val="24"/>
                <w:highlight w:val="none"/>
                <w:shd w:val="clear" w:color="auto" w:fill="FFFFFF"/>
              </w:rPr>
              <w:instrText xml:space="preserve">= 1 \* ROMAN</w:instrText>
            </w:r>
            <w:r>
              <w:rPr>
                <w:kern w:val="0"/>
                <w:sz w:val="24"/>
                <w:highlight w:val="none"/>
                <w:shd w:val="clear" w:color="auto" w:fill="FFFFFF"/>
              </w:rPr>
              <w:instrText xml:space="preserve"> </w:instrText>
            </w:r>
            <w:r>
              <w:rPr>
                <w:kern w:val="0"/>
                <w:sz w:val="24"/>
                <w:highlight w:val="none"/>
                <w:shd w:val="clear" w:color="auto" w:fill="FFFFFF"/>
              </w:rPr>
              <w:fldChar w:fldCharType="separate"/>
            </w:r>
            <w:r>
              <w:rPr>
                <w:kern w:val="0"/>
                <w:sz w:val="24"/>
                <w:highlight w:val="none"/>
                <w:shd w:val="clear" w:color="auto" w:fill="FFFFFF"/>
              </w:rPr>
              <w:t>I</w:t>
            </w:r>
            <w:r>
              <w:rPr>
                <w:kern w:val="0"/>
                <w:sz w:val="24"/>
                <w:highlight w:val="none"/>
                <w:shd w:val="clear" w:color="auto" w:fill="FFFFFF"/>
              </w:rPr>
              <w:fldChar w:fldCharType="end"/>
            </w:r>
            <w:r>
              <w:rPr>
                <w:rFonts w:hint="eastAsia"/>
                <w:kern w:val="0"/>
                <w:sz w:val="24"/>
                <w:highlight w:val="none"/>
                <w:shd w:val="clear" w:color="auto" w:fill="FFFFFF"/>
              </w:rPr>
              <w:t>）</w:t>
            </w:r>
            <w:r>
              <w:rPr>
                <w:kern w:val="0"/>
                <w:sz w:val="24"/>
                <w:highlight w:val="none"/>
                <w:shd w:val="clear" w:color="auto" w:fill="FFFFFF"/>
              </w:rPr>
              <w:t>、较大</w:t>
            </w:r>
            <w:r>
              <w:rPr>
                <w:rFonts w:hint="eastAsia"/>
                <w:kern w:val="0"/>
                <w:sz w:val="24"/>
                <w:highlight w:val="none"/>
                <w:shd w:val="clear" w:color="auto" w:fill="FFFFFF"/>
              </w:rPr>
              <w:t>环境风险（</w:t>
            </w:r>
            <w:r>
              <w:rPr>
                <w:kern w:val="0"/>
                <w:sz w:val="24"/>
                <w:highlight w:val="none"/>
                <w:shd w:val="clear" w:color="auto" w:fill="FFFFFF"/>
              </w:rPr>
              <w:fldChar w:fldCharType="begin"/>
            </w:r>
            <w:r>
              <w:rPr>
                <w:kern w:val="0"/>
                <w:sz w:val="24"/>
                <w:highlight w:val="none"/>
                <w:shd w:val="clear" w:color="auto" w:fill="FFFFFF"/>
              </w:rPr>
              <w:instrText xml:space="preserve"> </w:instrText>
            </w:r>
            <w:r>
              <w:rPr>
                <w:rFonts w:hint="eastAsia"/>
                <w:kern w:val="0"/>
                <w:sz w:val="24"/>
                <w:highlight w:val="none"/>
                <w:shd w:val="clear" w:color="auto" w:fill="FFFFFF"/>
              </w:rPr>
              <w:instrText xml:space="preserve">= 2 \* ROMAN</w:instrText>
            </w:r>
            <w:r>
              <w:rPr>
                <w:kern w:val="0"/>
                <w:sz w:val="24"/>
                <w:highlight w:val="none"/>
                <w:shd w:val="clear" w:color="auto" w:fill="FFFFFF"/>
              </w:rPr>
              <w:instrText xml:space="preserve"> </w:instrText>
            </w:r>
            <w:r>
              <w:rPr>
                <w:kern w:val="0"/>
                <w:sz w:val="24"/>
                <w:highlight w:val="none"/>
                <w:shd w:val="clear" w:color="auto" w:fill="FFFFFF"/>
              </w:rPr>
              <w:fldChar w:fldCharType="separate"/>
            </w:r>
            <w:r>
              <w:rPr>
                <w:kern w:val="0"/>
                <w:sz w:val="24"/>
                <w:highlight w:val="none"/>
                <w:shd w:val="clear" w:color="auto" w:fill="FFFFFF"/>
              </w:rPr>
              <w:t>II</w:t>
            </w:r>
            <w:r>
              <w:rPr>
                <w:kern w:val="0"/>
                <w:sz w:val="24"/>
                <w:highlight w:val="none"/>
                <w:shd w:val="clear" w:color="auto" w:fill="FFFFFF"/>
              </w:rPr>
              <w:fldChar w:fldCharType="end"/>
            </w:r>
            <w:r>
              <w:rPr>
                <w:rFonts w:hint="eastAsia"/>
                <w:kern w:val="0"/>
                <w:sz w:val="24"/>
                <w:highlight w:val="none"/>
                <w:shd w:val="clear" w:color="auto" w:fill="FFFFFF"/>
              </w:rPr>
              <w:t>）</w:t>
            </w:r>
            <w:r>
              <w:rPr>
                <w:kern w:val="0"/>
                <w:sz w:val="24"/>
                <w:highlight w:val="none"/>
                <w:shd w:val="clear" w:color="auto" w:fill="FFFFFF"/>
              </w:rPr>
              <w:t>和一般</w:t>
            </w:r>
            <w:r>
              <w:rPr>
                <w:rFonts w:hint="eastAsia"/>
                <w:kern w:val="0"/>
                <w:sz w:val="24"/>
                <w:highlight w:val="none"/>
                <w:shd w:val="clear" w:color="auto" w:fill="FFFFFF"/>
              </w:rPr>
              <w:t>环境风险（</w:t>
            </w:r>
            <w:r>
              <w:rPr>
                <w:kern w:val="0"/>
                <w:sz w:val="24"/>
                <w:highlight w:val="none"/>
                <w:shd w:val="clear" w:color="auto" w:fill="FFFFFF"/>
              </w:rPr>
              <w:fldChar w:fldCharType="begin"/>
            </w:r>
            <w:r>
              <w:rPr>
                <w:kern w:val="0"/>
                <w:sz w:val="24"/>
                <w:highlight w:val="none"/>
                <w:shd w:val="clear" w:color="auto" w:fill="FFFFFF"/>
              </w:rPr>
              <w:instrText xml:space="preserve"> </w:instrText>
            </w:r>
            <w:r>
              <w:rPr>
                <w:rFonts w:hint="eastAsia"/>
                <w:kern w:val="0"/>
                <w:sz w:val="24"/>
                <w:highlight w:val="none"/>
                <w:shd w:val="clear" w:color="auto" w:fill="FFFFFF"/>
              </w:rPr>
              <w:instrText xml:space="preserve">= 3 \* ROMAN</w:instrText>
            </w:r>
            <w:r>
              <w:rPr>
                <w:kern w:val="0"/>
                <w:sz w:val="24"/>
                <w:highlight w:val="none"/>
                <w:shd w:val="clear" w:color="auto" w:fill="FFFFFF"/>
              </w:rPr>
              <w:instrText xml:space="preserve"> </w:instrText>
            </w:r>
            <w:r>
              <w:rPr>
                <w:kern w:val="0"/>
                <w:sz w:val="24"/>
                <w:highlight w:val="none"/>
                <w:shd w:val="clear" w:color="auto" w:fill="FFFFFF"/>
              </w:rPr>
              <w:fldChar w:fldCharType="separate"/>
            </w:r>
            <w:r>
              <w:rPr>
                <w:kern w:val="0"/>
                <w:sz w:val="24"/>
                <w:highlight w:val="none"/>
                <w:shd w:val="clear" w:color="auto" w:fill="FFFFFF"/>
              </w:rPr>
              <w:t>III</w:t>
            </w:r>
            <w:r>
              <w:rPr>
                <w:kern w:val="0"/>
                <w:sz w:val="24"/>
                <w:highlight w:val="none"/>
                <w:shd w:val="clear" w:color="auto" w:fill="FFFFFF"/>
              </w:rPr>
              <w:fldChar w:fldCharType="end"/>
            </w:r>
            <w:r>
              <w:rPr>
                <w:rFonts w:hint="eastAsia"/>
                <w:kern w:val="0"/>
                <w:sz w:val="24"/>
                <w:highlight w:val="none"/>
                <w:shd w:val="clear" w:color="auto" w:fill="FFFFFF"/>
              </w:rPr>
              <w:t>）</w:t>
            </w:r>
            <w:r>
              <w:rPr>
                <w:kern w:val="0"/>
                <w:sz w:val="24"/>
                <w:highlight w:val="none"/>
                <w:shd w:val="clear" w:color="auto" w:fill="FFFFFF"/>
              </w:rPr>
              <w:t>。</w:t>
            </w:r>
            <w:r>
              <w:rPr>
                <w:sz w:val="24"/>
                <w:highlight w:val="none"/>
              </w:rPr>
              <w:t>预警信号依次为橙色、</w:t>
            </w:r>
            <w:r>
              <w:rPr>
                <w:rFonts w:hint="eastAsia"/>
                <w:sz w:val="24"/>
                <w:highlight w:val="none"/>
              </w:rPr>
              <w:t>黄色和蓝色</w:t>
            </w:r>
            <w:r>
              <w:rPr>
                <w:sz w:val="24"/>
                <w:highlight w:val="none"/>
              </w:rPr>
              <w:t>。</w:t>
            </w:r>
          </w:p>
          <w:p>
            <w:pPr>
              <w:snapToGrid w:val="0"/>
              <w:spacing w:line="360" w:lineRule="auto"/>
              <w:ind w:firstLine="480" w:firstLineChars="200"/>
              <w:rPr>
                <w:rFonts w:hint="eastAsia"/>
                <w:kern w:val="0"/>
                <w:sz w:val="24"/>
                <w:highlight w:val="none"/>
                <w:shd w:val="clear" w:color="auto" w:fill="FFFFFF"/>
              </w:rPr>
            </w:pPr>
            <w:r>
              <w:rPr>
                <w:sz w:val="24"/>
                <w:highlight w:val="none"/>
              </w:rPr>
              <w:t>根据《高碑店市白沟京泽五金饰件厂突发环境事件风险评估报告》，</w:t>
            </w:r>
            <w:r>
              <w:rPr>
                <w:rFonts w:hAnsi="宋体" w:cs="宋体"/>
                <w:sz w:val="24"/>
                <w:highlight w:val="none"/>
              </w:rPr>
              <w:t>企业</w:t>
            </w:r>
            <w:r>
              <w:rPr>
                <w:rFonts w:hint="eastAsia" w:hAnsi="宋体" w:cs="宋体"/>
                <w:sz w:val="24"/>
                <w:highlight w:val="none"/>
              </w:rPr>
              <w:t>突发水</w:t>
            </w:r>
            <w:r>
              <w:rPr>
                <w:rFonts w:hAnsi="宋体" w:cs="宋体"/>
                <w:sz w:val="24"/>
                <w:highlight w:val="none"/>
              </w:rPr>
              <w:t>环境风险等级为</w:t>
            </w:r>
            <w:r>
              <w:rPr>
                <w:rFonts w:hint="eastAsia"/>
                <w:snapToGrid w:val="0"/>
                <w:kern w:val="0"/>
                <w:sz w:val="24"/>
                <w:highlight w:val="none"/>
              </w:rPr>
              <w:t>一般-水（Q</w:t>
            </w:r>
            <w:r>
              <w:rPr>
                <w:snapToGrid w:val="0"/>
                <w:kern w:val="0"/>
                <w:sz w:val="24"/>
                <w:highlight w:val="none"/>
              </w:rPr>
              <w:t>0</w:t>
            </w:r>
            <w:r>
              <w:rPr>
                <w:rFonts w:hint="eastAsia"/>
                <w:snapToGrid w:val="0"/>
                <w:kern w:val="0"/>
                <w:sz w:val="24"/>
                <w:highlight w:val="none"/>
              </w:rPr>
              <w:t>）</w:t>
            </w:r>
            <w:r>
              <w:rPr>
                <w:rFonts w:hint="eastAsia"/>
                <w:kern w:val="0"/>
                <w:sz w:val="24"/>
                <w:highlight w:val="none"/>
                <w:shd w:val="clear" w:color="auto" w:fill="FFFFFF"/>
              </w:rPr>
              <w:t>。</w:t>
            </w:r>
          </w:p>
          <w:p>
            <w:pPr>
              <w:pStyle w:val="4"/>
              <w:spacing w:before="0" w:after="0" w:line="360" w:lineRule="auto"/>
              <w:rPr>
                <w:rFonts w:ascii="Times New Roman" w:hAnsi="Times New Roman"/>
                <w:sz w:val="24"/>
                <w:szCs w:val="24"/>
                <w:highlight w:val="none"/>
              </w:rPr>
            </w:pPr>
            <w:bookmarkStart w:id="61" w:name="_Toc408734740"/>
            <w:bookmarkStart w:id="62" w:name="_Toc313023146"/>
            <w:bookmarkStart w:id="63" w:name="_Toc13696"/>
            <w:bookmarkStart w:id="64" w:name="_Toc50554715"/>
            <w:bookmarkStart w:id="65" w:name="_Toc13997"/>
            <w:bookmarkStart w:id="66" w:name="_Toc2127"/>
            <w:bookmarkStart w:id="67" w:name="_Toc19029"/>
            <w:r>
              <w:rPr>
                <w:rFonts w:ascii="Times New Roman" w:hAnsi="Times New Roman"/>
                <w:sz w:val="24"/>
                <w:szCs w:val="24"/>
                <w:highlight w:val="none"/>
              </w:rPr>
              <w:t>1.5</w:t>
            </w:r>
            <w:bookmarkEnd w:id="58"/>
            <w:bookmarkEnd w:id="59"/>
            <w:bookmarkEnd w:id="60"/>
            <w:bookmarkEnd w:id="61"/>
            <w:bookmarkEnd w:id="62"/>
            <w:r>
              <w:rPr>
                <w:rFonts w:hint="eastAsia" w:ascii="Times New Roman" w:hAnsi="Times New Roman"/>
                <w:sz w:val="24"/>
                <w:szCs w:val="24"/>
                <w:highlight w:val="none"/>
              </w:rPr>
              <w:t xml:space="preserve"> </w:t>
            </w:r>
            <w:r>
              <w:rPr>
                <w:rFonts w:ascii="Times New Roman" w:hAnsi="Times New Roman"/>
                <w:sz w:val="24"/>
                <w:szCs w:val="24"/>
                <w:highlight w:val="none"/>
              </w:rPr>
              <w:t>适用范围</w:t>
            </w:r>
            <w:bookmarkEnd w:id="63"/>
            <w:bookmarkEnd w:id="64"/>
            <w:bookmarkEnd w:id="65"/>
            <w:bookmarkEnd w:id="66"/>
            <w:bookmarkEnd w:id="67"/>
          </w:p>
          <w:p>
            <w:pPr>
              <w:spacing w:line="360" w:lineRule="auto"/>
              <w:ind w:firstLine="480" w:firstLineChars="200"/>
              <w:rPr>
                <w:rFonts w:hint="eastAsia"/>
                <w:sz w:val="24"/>
                <w:highlight w:val="none"/>
              </w:rPr>
            </w:pPr>
            <w:r>
              <w:rPr>
                <w:rFonts w:hint="eastAsia"/>
                <w:sz w:val="24"/>
                <w:highlight w:val="none"/>
              </w:rPr>
              <w:t>本预案适用于</w:t>
            </w:r>
            <w:r>
              <w:rPr>
                <w:sz w:val="24"/>
                <w:highlight w:val="none"/>
              </w:rPr>
              <w:t>高碑店市白沟京泽五金饰件厂</w:t>
            </w:r>
            <w:r>
              <w:rPr>
                <w:rFonts w:hint="eastAsia"/>
                <w:sz w:val="24"/>
                <w:highlight w:val="none"/>
              </w:rPr>
              <w:t>在生产过程中因各种因素引发的所有可能造成对企业周围环境造成危害和破坏以及可能导致社会重大财产损失的突发环境事件。</w:t>
            </w:r>
          </w:p>
          <w:p>
            <w:pPr>
              <w:pStyle w:val="4"/>
              <w:spacing w:before="0" w:after="0" w:line="360" w:lineRule="auto"/>
              <w:rPr>
                <w:rFonts w:hint="eastAsia" w:ascii="Times New Roman" w:hAnsi="Times New Roman"/>
                <w:sz w:val="24"/>
                <w:szCs w:val="24"/>
                <w:highlight w:val="none"/>
              </w:rPr>
            </w:pPr>
            <w:bookmarkStart w:id="68" w:name="_Toc50554716"/>
            <w:r>
              <w:rPr>
                <w:rFonts w:hint="eastAsia" w:ascii="Times New Roman" w:hAnsi="Times New Roman"/>
                <w:sz w:val="24"/>
                <w:szCs w:val="24"/>
                <w:highlight w:val="none"/>
              </w:rPr>
              <w:t>1.6 应急预案体系</w:t>
            </w:r>
            <w:bookmarkEnd w:id="68"/>
          </w:p>
          <w:p>
            <w:pPr>
              <w:spacing w:line="360" w:lineRule="auto"/>
              <w:ind w:firstLine="480" w:firstLineChars="200"/>
              <w:rPr>
                <w:sz w:val="24"/>
                <w:highlight w:val="none"/>
              </w:rPr>
            </w:pPr>
            <w:r>
              <w:rPr>
                <w:rFonts w:hint="eastAsia"/>
                <w:sz w:val="24"/>
                <w:highlight w:val="none"/>
              </w:rPr>
              <w:t>结合本单位实际情况，制定公司级环境应急预案。同时公司内车间、工段、岗位分别制定相应的现场处置卡，结合公司的安全生产应急预案、用水、用电应急预案形成公司预案体系。预案体系事件分级清晰合理，且与上级应急预案响应分级衔接，同时能够与各类专项环境应急预案、现场处置预案（现场处置卡）相衔接。</w:t>
            </w:r>
          </w:p>
          <w:p>
            <w:pPr>
              <w:spacing w:line="360" w:lineRule="auto"/>
              <w:rPr>
                <w:rFonts w:hint="eastAsia"/>
                <w:highlight w:val="none"/>
              </w:rPr>
            </w:pPr>
          </w:p>
          <w:p>
            <w:pPr>
              <w:pStyle w:val="16"/>
              <w:jc w:val="center"/>
              <w:rPr>
                <w:rFonts w:hint="eastAsia" w:ascii="Times New Roman" w:hAnsi="Times New Roman" w:eastAsia="宋体"/>
                <w:b/>
                <w:bCs/>
                <w:color w:val="auto"/>
                <w:highlight w:val="none"/>
              </w:rPr>
            </w:pPr>
            <w:r>
              <w:rPr>
                <w:rFonts w:ascii="Times New Roman" w:hAnsi="Times New Roman" w:eastAsia="宋体"/>
                <w:b/>
                <w:bCs/>
                <w:color w:val="auto"/>
                <w:highlight w:val="none"/>
              </w:rPr>
              <w:t>图1-1 企业应急预案体系</w:t>
            </w:r>
          </w:p>
          <w:p>
            <w:pPr>
              <w:pStyle w:val="2"/>
              <w:widowControl/>
              <w:tabs>
                <w:tab w:val="right" w:leader="dot" w:pos="8505"/>
              </w:tabs>
              <w:spacing w:before="120" w:beforeLines="50" w:after="120" w:afterLines="50" w:line="360" w:lineRule="auto"/>
              <w:ind w:left="0" w:leftChars="0"/>
              <w:jc w:val="center"/>
              <w:rPr>
                <w:b/>
                <w:sz w:val="24"/>
                <w:highlight w:val="none"/>
              </w:rPr>
            </w:pPr>
            <w:r>
              <w:rPr>
                <w:rFonts w:hint="eastAsia"/>
                <w:b/>
                <w:sz w:val="24"/>
                <w:highlight w:val="none"/>
              </w:rPr>
              <w:t>库房现场处置卡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jc w:val="center"/>
                    <w:rPr>
                      <w:rFonts w:hint="eastAsia" w:ascii="宋体" w:hAnsi="宋体"/>
                      <w:szCs w:val="21"/>
                      <w:highlight w:val="none"/>
                    </w:rPr>
                  </w:pPr>
                  <w:r>
                    <w:rPr>
                      <w:rFonts w:hint="eastAsia" w:ascii="宋体" w:hAnsi="宋体"/>
                      <w:szCs w:val="21"/>
                      <w:highlight w:val="none"/>
                    </w:rPr>
                    <w:t>风险提示</w:t>
                  </w:r>
                </w:p>
              </w:tc>
              <w:tc>
                <w:tcPr>
                  <w:tcW w:w="7335" w:type="dxa"/>
                  <w:noWrap w:val="0"/>
                  <w:vAlign w:val="top"/>
                </w:tcPr>
                <w:p>
                  <w:pPr>
                    <w:pStyle w:val="1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泄露：</w:t>
                  </w:r>
                  <w:r>
                    <w:rPr>
                      <w:rFonts w:ascii="宋体" w:hAnsi="宋体" w:eastAsia="宋体"/>
                      <w:color w:val="auto"/>
                      <w:sz w:val="21"/>
                      <w:szCs w:val="21"/>
                      <w:highlight w:val="none"/>
                    </w:rPr>
                    <w:t>硫酸镍</w:t>
                  </w:r>
                  <w:r>
                    <w:rPr>
                      <w:rFonts w:hint="eastAsia" w:ascii="宋体" w:hAnsi="宋体" w:eastAsia="宋体"/>
                      <w:color w:val="auto"/>
                      <w:sz w:val="21"/>
                      <w:szCs w:val="21"/>
                      <w:highlight w:val="none"/>
                    </w:rPr>
                    <w:t>、</w:t>
                  </w:r>
                  <w:r>
                    <w:rPr>
                      <w:rFonts w:ascii="宋体" w:hAnsi="宋体" w:eastAsia="宋体"/>
                      <w:color w:val="auto"/>
                      <w:sz w:val="21"/>
                      <w:szCs w:val="21"/>
                      <w:highlight w:val="none"/>
                    </w:rPr>
                    <w:t>氯化镍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发生泄漏</w:t>
                  </w:r>
                  <w:r>
                    <w:rPr>
                      <w:rFonts w:hint="eastAsia" w:ascii="宋体" w:hAnsi="宋体" w:eastAsia="宋体"/>
                      <w:color w:val="auto"/>
                      <w:sz w:val="21"/>
                      <w:szCs w:val="21"/>
                      <w:highlight w:val="none"/>
                    </w:rPr>
                    <w:t>，</w:t>
                  </w:r>
                  <w:r>
                    <w:rPr>
                      <w:rFonts w:ascii="宋体" w:hAnsi="宋体" w:eastAsia="宋体"/>
                      <w:color w:val="auto"/>
                      <w:sz w:val="21"/>
                      <w:szCs w:val="21"/>
                      <w:highlight w:val="none"/>
                    </w:rPr>
                    <w:t>污染</w:t>
                  </w:r>
                  <w:r>
                    <w:rPr>
                      <w:rFonts w:hint="eastAsia" w:ascii="宋体" w:hAnsi="宋体" w:eastAsia="宋体"/>
                      <w:color w:val="auto"/>
                      <w:sz w:val="21"/>
                      <w:szCs w:val="21"/>
                      <w:highlight w:val="none"/>
                    </w:rPr>
                    <w:t>土壤</w:t>
                  </w:r>
                  <w:r>
                    <w:rPr>
                      <w:rFonts w:ascii="宋体" w:hAnsi="宋体" w:eastAsia="宋体"/>
                      <w:color w:val="auto"/>
                      <w:sz w:val="21"/>
                      <w:szCs w:val="21"/>
                      <w:highlight w:val="none"/>
                    </w:rPr>
                    <w:t>及地下水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jc w:val="center"/>
                    <w:rPr>
                      <w:rFonts w:hint="eastAsia" w:ascii="宋体" w:hAnsi="宋体"/>
                      <w:szCs w:val="21"/>
                      <w:highlight w:val="none"/>
                    </w:rPr>
                  </w:pPr>
                  <w:r>
                    <w:rPr>
                      <w:rFonts w:hint="eastAsia" w:ascii="宋体" w:hAnsi="宋体"/>
                      <w:szCs w:val="21"/>
                      <w:highlight w:val="none"/>
                    </w:rPr>
                    <w:t>应急处置</w:t>
                  </w:r>
                </w:p>
              </w:tc>
              <w:tc>
                <w:tcPr>
                  <w:tcW w:w="7335" w:type="dxa"/>
                  <w:noWrap w:val="0"/>
                  <w:vAlign w:val="top"/>
                </w:tcPr>
                <w:p>
                  <w:pPr>
                    <w:pStyle w:val="16"/>
                    <w:rPr>
                      <w:rFonts w:ascii="宋体" w:hAnsi="宋体" w:eastAsia="宋体"/>
                      <w:color w:val="auto"/>
                      <w:sz w:val="21"/>
                      <w:szCs w:val="21"/>
                      <w:highlight w:val="none"/>
                    </w:rPr>
                  </w:pPr>
                  <w:r>
                    <w:rPr>
                      <w:rFonts w:ascii="宋体" w:hAnsi="宋体" w:eastAsia="宋体"/>
                      <w:color w:val="auto"/>
                      <w:sz w:val="21"/>
                      <w:szCs w:val="21"/>
                      <w:highlight w:val="none"/>
                    </w:rPr>
                    <w:t>硫酸镍、氯化镍</w:t>
                  </w:r>
                  <w:r>
                    <w:rPr>
                      <w:rFonts w:hint="eastAsia" w:ascii="宋体" w:hAnsi="宋体" w:eastAsia="宋体"/>
                      <w:color w:val="auto"/>
                      <w:sz w:val="21"/>
                      <w:szCs w:val="21"/>
                      <w:highlight w:val="none"/>
                    </w:rPr>
                    <w:t>等少量泄露时，应隔离泄漏污染区，限制出入。建议应急处理人员戴防尘面具（全面罩），穿防毒服。用大量水冲洗，洗水稀释后放入废水系统。若大量泄漏，收集回收或运至废物处理场所处置</w:t>
                  </w:r>
                  <w:r>
                    <w:rPr>
                      <w:rFonts w:ascii="宋体" w:hAnsi="宋体" w:eastAsia="宋体"/>
                      <w:color w:val="auto"/>
                      <w:sz w:val="21"/>
                      <w:szCs w:val="21"/>
                      <w:highlight w:val="none"/>
                    </w:rPr>
                    <w:t>。</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1、发现事故隐患及时向总指挥（刘俊水：15130378888）报告</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2、如能自行处理，根据现场泄漏情况，制定堵漏方案，立即按照堵漏方式实施</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3、如不能自行处理，向总指挥报告后按总指挥要求启动应急预案，进行应急救援</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jc w:val="center"/>
                    <w:rPr>
                      <w:rFonts w:hint="eastAsia" w:ascii="宋体" w:hAnsi="宋体"/>
                      <w:szCs w:val="21"/>
                      <w:highlight w:val="none"/>
                    </w:rPr>
                  </w:pPr>
                  <w:r>
                    <w:rPr>
                      <w:rFonts w:hint="eastAsia" w:ascii="宋体" w:hAnsi="宋体"/>
                      <w:szCs w:val="21"/>
                      <w:highlight w:val="none"/>
                    </w:rPr>
                    <w:t>负责人</w:t>
                  </w:r>
                </w:p>
              </w:tc>
              <w:tc>
                <w:tcPr>
                  <w:tcW w:w="7335"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付庆辉</w:t>
                  </w:r>
                </w:p>
              </w:tc>
            </w:tr>
          </w:tbl>
          <w:p>
            <w:pPr>
              <w:pStyle w:val="2"/>
              <w:widowControl/>
              <w:tabs>
                <w:tab w:val="right" w:leader="dot" w:pos="8505"/>
              </w:tabs>
              <w:spacing w:before="120" w:beforeLines="50" w:after="120" w:afterLines="50" w:line="360" w:lineRule="auto"/>
              <w:ind w:left="0" w:leftChars="0"/>
              <w:jc w:val="center"/>
              <w:rPr>
                <w:b/>
                <w:sz w:val="24"/>
                <w:highlight w:val="none"/>
              </w:rPr>
            </w:pPr>
            <w:r>
              <w:rPr>
                <w:rFonts w:hint="eastAsia"/>
                <w:b/>
                <w:sz w:val="24"/>
                <w:highlight w:val="none"/>
              </w:rPr>
              <w:t>电镀车间现场处置</w:t>
            </w:r>
            <w:r>
              <w:rPr>
                <w:b/>
                <w:sz w:val="24"/>
                <w:highlight w:val="none"/>
              </w:rPr>
              <w:t>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风险提示</w:t>
                  </w:r>
                </w:p>
              </w:tc>
              <w:tc>
                <w:tcPr>
                  <w:tcW w:w="7333" w:type="dxa"/>
                  <w:noWrap w:val="0"/>
                  <w:vAlign w:val="top"/>
                </w:tcPr>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泄露</w:t>
                  </w:r>
                  <w:r>
                    <w:rPr>
                      <w:rFonts w:ascii="Times New Roman" w:eastAsia="宋体"/>
                      <w:color w:val="auto"/>
                      <w:sz w:val="21"/>
                      <w:szCs w:val="21"/>
                      <w:highlight w:val="none"/>
                    </w:rPr>
                    <w:t>：</w:t>
                  </w:r>
                  <w:r>
                    <w:rPr>
                      <w:rFonts w:hint="eastAsia" w:ascii="Times New Roman" w:eastAsia="宋体"/>
                      <w:color w:val="auto"/>
                      <w:sz w:val="21"/>
                      <w:szCs w:val="21"/>
                      <w:highlight w:val="none"/>
                    </w:rPr>
                    <w:t>电镀槽发生</w:t>
                  </w:r>
                  <w:r>
                    <w:rPr>
                      <w:rFonts w:ascii="Times New Roman" w:eastAsia="宋体"/>
                      <w:color w:val="auto"/>
                      <w:sz w:val="21"/>
                      <w:szCs w:val="21"/>
                      <w:highlight w:val="none"/>
                    </w:rPr>
                    <w:t>泄露</w:t>
                  </w:r>
                  <w:r>
                    <w:rPr>
                      <w:rFonts w:hint="eastAsia" w:ascii="Times New Roman" w:eastAsia="宋体"/>
                      <w:color w:val="auto"/>
                      <w:sz w:val="21"/>
                      <w:szCs w:val="21"/>
                      <w:highlight w:val="none"/>
                    </w:rPr>
                    <w:t>，</w:t>
                  </w:r>
                  <w:r>
                    <w:rPr>
                      <w:rFonts w:ascii="Times New Roman" w:eastAsia="宋体"/>
                      <w:color w:val="auto"/>
                      <w:sz w:val="21"/>
                      <w:szCs w:val="21"/>
                      <w:highlight w:val="none"/>
                    </w:rPr>
                    <w:t>污染</w:t>
                  </w:r>
                  <w:r>
                    <w:rPr>
                      <w:rFonts w:hint="eastAsia" w:ascii="Times New Roman" w:eastAsia="宋体"/>
                      <w:color w:val="auto"/>
                      <w:sz w:val="21"/>
                      <w:szCs w:val="21"/>
                      <w:highlight w:val="none"/>
                    </w:rPr>
                    <w:t>土壤及</w:t>
                  </w:r>
                  <w:r>
                    <w:rPr>
                      <w:rFonts w:ascii="Times New Roman" w:eastAsia="宋体"/>
                      <w:color w:val="auto"/>
                      <w:sz w:val="21"/>
                      <w:szCs w:val="21"/>
                      <w:highlight w:val="none"/>
                    </w:rPr>
                    <w:t>地下水</w:t>
                  </w:r>
                </w:p>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处理设施</w:t>
                  </w:r>
                  <w:r>
                    <w:rPr>
                      <w:rFonts w:ascii="Times New Roman" w:eastAsia="宋体"/>
                      <w:color w:val="auto"/>
                      <w:sz w:val="21"/>
                      <w:szCs w:val="21"/>
                      <w:highlight w:val="none"/>
                    </w:rPr>
                    <w:t>运行异常：</w:t>
                  </w:r>
                  <w:r>
                    <w:rPr>
                      <w:rFonts w:hint="eastAsia" w:ascii="Times New Roman" w:eastAsia="宋体"/>
                      <w:color w:val="auto"/>
                      <w:sz w:val="21"/>
                      <w:szCs w:val="21"/>
                      <w:highlight w:val="none"/>
                    </w:rPr>
                    <w:t>废水处理设施运行异常，</w:t>
                  </w:r>
                  <w:r>
                    <w:rPr>
                      <w:rFonts w:ascii="Times New Roman" w:eastAsia="宋体"/>
                      <w:color w:val="auto"/>
                      <w:sz w:val="21"/>
                      <w:szCs w:val="21"/>
                      <w:highlight w:val="none"/>
                    </w:rPr>
                    <w:t>废水直接排放，对白沟污水处理厂造成冲击</w:t>
                  </w:r>
                  <w:r>
                    <w:rPr>
                      <w:rFonts w:hint="eastAsia" w:ascii="Times New Roman" w:eastAsia="宋体"/>
                      <w:color w:val="auto"/>
                      <w:sz w:val="21"/>
                      <w:szCs w:val="21"/>
                      <w:highlight w:val="none"/>
                    </w:rPr>
                    <w:t>；</w:t>
                  </w:r>
                  <w:r>
                    <w:rPr>
                      <w:rFonts w:ascii="Times New Roman" w:eastAsia="宋体"/>
                      <w:color w:val="auto"/>
                      <w:sz w:val="21"/>
                      <w:szCs w:val="21"/>
                      <w:highlight w:val="none"/>
                    </w:rPr>
                    <w:t>废气未经处理直接排放，污染大气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应急处置</w:t>
                  </w:r>
                </w:p>
              </w:tc>
              <w:tc>
                <w:tcPr>
                  <w:tcW w:w="7333" w:type="dxa"/>
                  <w:noWrap w:val="0"/>
                  <w:vAlign w:val="top"/>
                </w:tcPr>
                <w:p>
                  <w:pPr>
                    <w:pStyle w:val="16"/>
                    <w:jc w:val="both"/>
                    <w:rPr>
                      <w:rFonts w:ascii="Times New Roman" w:eastAsia="宋体"/>
                      <w:color w:val="auto"/>
                      <w:sz w:val="21"/>
                      <w:szCs w:val="21"/>
                      <w:highlight w:val="none"/>
                    </w:rPr>
                  </w:pPr>
                  <w:r>
                    <w:rPr>
                      <w:rFonts w:hint="eastAsia" w:ascii="Times New Roman" w:eastAsia="宋体"/>
                      <w:color w:val="auto"/>
                      <w:sz w:val="21"/>
                      <w:szCs w:val="21"/>
                      <w:highlight w:val="none"/>
                    </w:rPr>
                    <w:t>泄露</w:t>
                  </w:r>
                  <w:r>
                    <w:rPr>
                      <w:rFonts w:ascii="Times New Roman" w:eastAsia="宋体"/>
                      <w:color w:val="auto"/>
                      <w:sz w:val="21"/>
                      <w:szCs w:val="21"/>
                      <w:highlight w:val="none"/>
                    </w:rPr>
                    <w:t>：</w:t>
                  </w:r>
                  <w:r>
                    <w:rPr>
                      <w:rFonts w:hint="eastAsia" w:ascii="Times New Roman" w:eastAsia="宋体"/>
                      <w:color w:val="auto"/>
                      <w:sz w:val="21"/>
                      <w:szCs w:val="21"/>
                      <w:highlight w:val="none"/>
                    </w:rPr>
                    <w:t>硫酸、硼酸泄漏时可用砂土、干燥石灰或苏打灰混合覆盖；</w:t>
                  </w:r>
                  <w:r>
                    <w:rPr>
                      <w:rFonts w:ascii="Times New Roman" w:eastAsia="宋体"/>
                      <w:color w:val="auto"/>
                      <w:sz w:val="21"/>
                      <w:szCs w:val="21"/>
                      <w:highlight w:val="none"/>
                    </w:rPr>
                    <w:t>硫酸镍、氯化镍</w:t>
                  </w:r>
                  <w:r>
                    <w:rPr>
                      <w:rFonts w:hint="eastAsia" w:ascii="Times New Roman" w:eastAsia="宋体"/>
                      <w:color w:val="auto"/>
                      <w:sz w:val="21"/>
                      <w:szCs w:val="21"/>
                      <w:highlight w:val="none"/>
                    </w:rPr>
                    <w:t>等少量泄露时</w:t>
                  </w:r>
                  <w:r>
                    <w:rPr>
                      <w:rFonts w:ascii="Times New Roman" w:eastAsia="宋体"/>
                      <w:color w:val="auto"/>
                      <w:sz w:val="21"/>
                      <w:szCs w:val="21"/>
                      <w:highlight w:val="none"/>
                    </w:rPr>
                    <w:t>用大量水冲洗，废水收集至废</w:t>
                  </w:r>
                  <w:r>
                    <w:rPr>
                      <w:rFonts w:hint="eastAsia" w:ascii="Times New Roman" w:eastAsia="宋体"/>
                      <w:color w:val="auto"/>
                      <w:sz w:val="21"/>
                      <w:szCs w:val="21"/>
                      <w:highlight w:val="none"/>
                    </w:rPr>
                    <w:t>水</w:t>
                  </w:r>
                  <w:r>
                    <w:rPr>
                      <w:rFonts w:ascii="Times New Roman" w:eastAsia="宋体"/>
                      <w:color w:val="auto"/>
                      <w:sz w:val="21"/>
                      <w:szCs w:val="21"/>
                      <w:highlight w:val="none"/>
                    </w:rPr>
                    <w:t>处理设施</w:t>
                  </w:r>
                  <w:r>
                    <w:rPr>
                      <w:rFonts w:hint="eastAsia" w:ascii="Times New Roman" w:eastAsia="宋体"/>
                      <w:color w:val="auto"/>
                      <w:sz w:val="21"/>
                      <w:szCs w:val="21"/>
                      <w:highlight w:val="none"/>
                    </w:rPr>
                    <w:t>，</w:t>
                  </w:r>
                  <w:r>
                    <w:rPr>
                      <w:rFonts w:ascii="Times New Roman" w:eastAsia="宋体"/>
                      <w:color w:val="auto"/>
                      <w:sz w:val="21"/>
                      <w:szCs w:val="21"/>
                      <w:highlight w:val="none"/>
                    </w:rPr>
                    <w:t>大量</w:t>
                  </w:r>
                  <w:r>
                    <w:rPr>
                      <w:rFonts w:hint="eastAsia" w:ascii="Times New Roman" w:eastAsia="宋体"/>
                      <w:color w:val="auto"/>
                      <w:sz w:val="21"/>
                      <w:szCs w:val="21"/>
                      <w:highlight w:val="none"/>
                    </w:rPr>
                    <w:t>泄漏时</w:t>
                  </w:r>
                  <w:r>
                    <w:rPr>
                      <w:rFonts w:ascii="Times New Roman" w:eastAsia="宋体"/>
                      <w:color w:val="auto"/>
                      <w:sz w:val="21"/>
                      <w:szCs w:val="21"/>
                      <w:highlight w:val="none"/>
                    </w:rPr>
                    <w:t>收集至危废间</w:t>
                  </w:r>
                  <w:r>
                    <w:rPr>
                      <w:rFonts w:hint="eastAsia" w:ascii="Times New Roman" w:eastAsia="宋体"/>
                      <w:color w:val="auto"/>
                      <w:sz w:val="21"/>
                      <w:szCs w:val="21"/>
                      <w:highlight w:val="none"/>
                    </w:rPr>
                    <w:t>，</w:t>
                  </w:r>
                  <w:r>
                    <w:rPr>
                      <w:rFonts w:ascii="Times New Roman" w:eastAsia="宋体"/>
                      <w:color w:val="auto"/>
                      <w:sz w:val="21"/>
                      <w:szCs w:val="21"/>
                      <w:highlight w:val="none"/>
                    </w:rPr>
                    <w:t>然后再冲洗处置。</w:t>
                  </w:r>
                </w:p>
                <w:p>
                  <w:pPr>
                    <w:pStyle w:val="16"/>
                    <w:jc w:val="both"/>
                    <w:rPr>
                      <w:rFonts w:ascii="Times New Roman" w:eastAsia="宋体"/>
                      <w:color w:val="auto"/>
                      <w:sz w:val="21"/>
                      <w:szCs w:val="21"/>
                      <w:highlight w:val="none"/>
                    </w:rPr>
                  </w:pPr>
                  <w:r>
                    <w:rPr>
                      <w:rFonts w:hint="eastAsia" w:ascii="Times New Roman" w:eastAsia="宋体"/>
                      <w:color w:val="auto"/>
                      <w:sz w:val="21"/>
                      <w:szCs w:val="21"/>
                      <w:highlight w:val="none"/>
                    </w:rPr>
                    <w:t>处理设施</w:t>
                  </w:r>
                  <w:r>
                    <w:rPr>
                      <w:rFonts w:ascii="Times New Roman" w:eastAsia="宋体"/>
                      <w:color w:val="auto"/>
                      <w:sz w:val="21"/>
                      <w:szCs w:val="21"/>
                      <w:highlight w:val="none"/>
                    </w:rPr>
                    <w:t>运行异常：</w:t>
                  </w:r>
                  <w:r>
                    <w:rPr>
                      <w:rFonts w:hint="eastAsia" w:ascii="Times New Roman" w:eastAsia="宋体"/>
                      <w:color w:val="auto"/>
                      <w:sz w:val="21"/>
                      <w:szCs w:val="21"/>
                      <w:highlight w:val="none"/>
                    </w:rPr>
                    <w:t>首先停止各</w:t>
                  </w:r>
                  <w:r>
                    <w:rPr>
                      <w:rFonts w:ascii="Times New Roman" w:eastAsia="宋体"/>
                      <w:color w:val="auto"/>
                      <w:sz w:val="21"/>
                      <w:szCs w:val="21"/>
                      <w:highlight w:val="none"/>
                    </w:rPr>
                    <w:t>车间排放口，</w:t>
                  </w:r>
                  <w:r>
                    <w:rPr>
                      <w:rFonts w:hint="eastAsia" w:ascii="Times New Roman" w:eastAsia="宋体"/>
                      <w:color w:val="auto"/>
                      <w:sz w:val="21"/>
                      <w:szCs w:val="21"/>
                      <w:highlight w:val="none"/>
                    </w:rPr>
                    <w:t>然后停止厂区排放口</w:t>
                  </w:r>
                  <w:r>
                    <w:rPr>
                      <w:rFonts w:ascii="Times New Roman" w:eastAsia="宋体"/>
                      <w:color w:val="auto"/>
                      <w:sz w:val="21"/>
                      <w:szCs w:val="21"/>
                      <w:highlight w:val="none"/>
                    </w:rPr>
                    <w:t>排水</w:t>
                  </w:r>
                  <w:r>
                    <w:rPr>
                      <w:rFonts w:hint="eastAsia" w:ascii="Times New Roman" w:eastAsia="宋体"/>
                      <w:color w:val="auto"/>
                      <w:sz w:val="21"/>
                      <w:szCs w:val="21"/>
                      <w:highlight w:val="none"/>
                    </w:rPr>
                    <w:t>，</w:t>
                  </w:r>
                  <w:r>
                    <w:rPr>
                      <w:rFonts w:ascii="Times New Roman" w:eastAsia="宋体"/>
                      <w:color w:val="auto"/>
                      <w:sz w:val="21"/>
                      <w:szCs w:val="21"/>
                      <w:highlight w:val="none"/>
                    </w:rPr>
                    <w:t>设备抢修人员对设备进行维修，确保运行正常后方可正常生产</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1、发现事故隐患及时向总指挥（刘俊水；15130378888）报告</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2、如能自行处理，根据现场泄漏情况，制定堵漏方案，立即按照堵漏方式实施</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3、如不能自行处理，向总指挥报告后按总指挥要求启动应急预案，进行应急救援</w:t>
                  </w:r>
                </w:p>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负责人</w:t>
                  </w:r>
                </w:p>
              </w:tc>
              <w:tc>
                <w:tcPr>
                  <w:tcW w:w="7333" w:type="dxa"/>
                  <w:noWrap w:val="0"/>
                  <w:vAlign w:val="center"/>
                </w:tcPr>
                <w:p>
                  <w:pPr>
                    <w:jc w:val="left"/>
                    <w:rPr>
                      <w:rFonts w:hint="eastAsia"/>
                      <w:color w:val="000000"/>
                      <w:szCs w:val="21"/>
                      <w:highlight w:val="none"/>
                    </w:rPr>
                  </w:pPr>
                  <w:r>
                    <w:rPr>
                      <w:rFonts w:hint="eastAsia"/>
                      <w:color w:val="000000"/>
                      <w:szCs w:val="21"/>
                      <w:highlight w:val="none"/>
                    </w:rPr>
                    <w:t>王建亮</w:t>
                  </w:r>
                </w:p>
              </w:tc>
            </w:tr>
          </w:tbl>
          <w:p>
            <w:pPr>
              <w:pStyle w:val="2"/>
              <w:widowControl/>
              <w:tabs>
                <w:tab w:val="right" w:leader="dot" w:pos="8505"/>
              </w:tabs>
              <w:spacing w:before="120" w:beforeLines="50" w:after="120" w:afterLines="50" w:line="360" w:lineRule="auto"/>
              <w:ind w:left="0" w:leftChars="0"/>
              <w:jc w:val="center"/>
              <w:rPr>
                <w:b/>
                <w:sz w:val="24"/>
                <w:highlight w:val="none"/>
              </w:rPr>
            </w:pPr>
            <w:r>
              <w:rPr>
                <w:rFonts w:hint="eastAsia"/>
                <w:b/>
                <w:sz w:val="24"/>
                <w:highlight w:val="none"/>
              </w:rPr>
              <w:t>危废间现场处置卡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风险提示</w:t>
                  </w:r>
                </w:p>
              </w:tc>
              <w:tc>
                <w:tcPr>
                  <w:tcW w:w="7333" w:type="dxa"/>
                  <w:noWrap w:val="0"/>
                  <w:vAlign w:val="top"/>
                </w:tcPr>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泄露：</w:t>
                  </w:r>
                  <w:r>
                    <w:rPr>
                      <w:rFonts w:hint="eastAsia" w:ascii="Times New Roman"/>
                      <w:color w:val="auto"/>
                      <w:sz w:val="21"/>
                      <w:szCs w:val="21"/>
                      <w:highlight w:val="none"/>
                      <w:lang w:val="en-US" w:eastAsia="zh-CN"/>
                    </w:rPr>
                    <w:t>电镀污泥</w:t>
                  </w:r>
                  <w:r>
                    <w:rPr>
                      <w:rFonts w:ascii="Times New Roman" w:eastAsia="宋体"/>
                      <w:color w:val="auto"/>
                      <w:sz w:val="21"/>
                      <w:szCs w:val="21"/>
                      <w:highlight w:val="none"/>
                    </w:rPr>
                    <w:t>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应急处置</w:t>
                  </w:r>
                </w:p>
              </w:tc>
              <w:tc>
                <w:tcPr>
                  <w:tcW w:w="7333" w:type="dxa"/>
                  <w:noWrap w:val="0"/>
                  <w:vAlign w:val="top"/>
                </w:tcPr>
                <w:p>
                  <w:pPr>
                    <w:pStyle w:val="16"/>
                    <w:jc w:val="both"/>
                    <w:rPr>
                      <w:rFonts w:ascii="Times New Roman" w:eastAsia="宋体"/>
                      <w:color w:val="auto"/>
                      <w:sz w:val="21"/>
                      <w:szCs w:val="21"/>
                      <w:highlight w:val="none"/>
                    </w:rPr>
                  </w:pPr>
                  <w:r>
                    <w:rPr>
                      <w:rFonts w:hint="eastAsia" w:ascii="Times New Roman" w:eastAsia="宋体"/>
                      <w:color w:val="auto"/>
                      <w:sz w:val="21"/>
                      <w:szCs w:val="21"/>
                      <w:highlight w:val="none"/>
                    </w:rPr>
                    <w:t>泄漏时可用砂土、干燥石灰或苏打灰混合覆盖，</w:t>
                  </w:r>
                  <w:r>
                    <w:rPr>
                      <w:rFonts w:ascii="Times New Roman" w:eastAsia="宋体"/>
                      <w:color w:val="auto"/>
                      <w:sz w:val="21"/>
                      <w:szCs w:val="21"/>
                      <w:highlight w:val="none"/>
                    </w:rPr>
                    <w:t>回收或运至废物处置场所。</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1、发现事故隐患及时向总指挥（刘俊水；15130378888）报告</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2、如能自行处理，根据现场泄漏情况，制定堵漏方案，立即按照堵漏方式实施</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3、如不能自行处理，向总指挥报告后按总指挥要求启动应急预案，进行应急救援</w:t>
                  </w:r>
                </w:p>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负责人</w:t>
                  </w:r>
                </w:p>
              </w:tc>
              <w:tc>
                <w:tcPr>
                  <w:tcW w:w="7333" w:type="dxa"/>
                  <w:noWrap w:val="0"/>
                  <w:vAlign w:val="center"/>
                </w:tcPr>
                <w:p>
                  <w:pPr>
                    <w:jc w:val="left"/>
                    <w:rPr>
                      <w:rFonts w:hint="eastAsia"/>
                      <w:color w:val="000000"/>
                      <w:szCs w:val="21"/>
                      <w:highlight w:val="none"/>
                    </w:rPr>
                  </w:pPr>
                  <w:r>
                    <w:rPr>
                      <w:rFonts w:hint="eastAsia"/>
                      <w:color w:val="000000"/>
                      <w:szCs w:val="21"/>
                      <w:highlight w:val="none"/>
                    </w:rPr>
                    <w:t>张海燕</w:t>
                  </w:r>
                </w:p>
              </w:tc>
            </w:tr>
          </w:tbl>
          <w:p>
            <w:pPr>
              <w:spacing w:line="560" w:lineRule="exact"/>
              <w:ind w:right="-105" w:rightChars="-50"/>
              <w:rPr>
                <w:highlight w:val="none"/>
              </w:rPr>
            </w:pPr>
          </w:p>
          <w:p>
            <w:pPr>
              <w:pStyle w:val="16"/>
              <w:rPr>
                <w:rFonts w:eastAsia="仿宋_GB2312"/>
                <w:sz w:val="24"/>
                <w:highlight w:val="none"/>
              </w:rPr>
            </w:pPr>
          </w:p>
        </w:tc>
      </w:tr>
    </w:tbl>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16" w:type="dxa"/>
            <w:noWrap w:val="0"/>
            <w:vAlign w:val="center"/>
          </w:tcPr>
          <w:p>
            <w:pPr>
              <w:spacing w:line="560" w:lineRule="exact"/>
              <w:jc w:val="center"/>
              <w:rPr>
                <w:rFonts w:eastAsia="仿宋_GB2312"/>
                <w:b/>
                <w:sz w:val="28"/>
                <w:szCs w:val="28"/>
              </w:rPr>
            </w:pPr>
            <w:r>
              <w:rPr>
                <w:rFonts w:hint="eastAsia" w:eastAsia="仿宋_GB2312"/>
                <w:sz w:val="24"/>
              </w:rPr>
              <w:t>主要内容</w:t>
            </w:r>
          </w:p>
        </w:tc>
        <w:tc>
          <w:tcPr>
            <w:tcW w:w="11820" w:type="dxa"/>
            <w:noWrap w:val="0"/>
            <w:vAlign w:val="center"/>
          </w:tcPr>
          <w:p>
            <w:pPr>
              <w:pStyle w:val="40"/>
              <w:ind w:firstLine="0" w:firstLineChars="0"/>
              <w:rPr>
                <w:rFonts w:hint="eastAsia" w:ascii="宋体" w:hAnsi="宋体" w:cs="宋体"/>
                <w:b/>
                <w:sz w:val="24"/>
              </w:rPr>
            </w:pPr>
            <w:r>
              <w:rPr>
                <w:rFonts w:hint="eastAsia" w:ascii="宋体" w:hAnsi="宋体" w:cs="宋体"/>
                <w:b/>
                <w:sz w:val="24"/>
              </w:rPr>
              <w:t>1.单位基本情况</w:t>
            </w:r>
          </w:p>
          <w:p>
            <w:pPr>
              <w:spacing w:line="360" w:lineRule="auto"/>
              <w:ind w:firstLine="480" w:firstLineChars="200"/>
              <w:rPr>
                <w:rFonts w:ascii="宋体" w:hAnsi="宋体" w:cs="宋体"/>
                <w:color w:val="FF0000"/>
                <w:sz w:val="24"/>
              </w:rPr>
            </w:pPr>
            <w:r>
              <w:rPr>
                <w:rFonts w:hint="eastAsia" w:ascii="宋体" w:hAnsi="宋体" w:cs="宋体"/>
                <w:sz w:val="24"/>
                <w:lang w:eastAsia="zh-CN"/>
              </w:rPr>
              <w:t>高碑店市白沟京泽压铸厂</w:t>
            </w:r>
            <w:r>
              <w:rPr>
                <w:rFonts w:hint="eastAsia" w:ascii="宋体" w:hAnsi="宋体" w:cs="宋体"/>
                <w:sz w:val="24"/>
              </w:rPr>
              <w:t>成立于200</w:t>
            </w:r>
            <w:r>
              <w:rPr>
                <w:rFonts w:hint="eastAsia" w:ascii="宋体" w:hAnsi="宋体" w:cs="宋体"/>
                <w:sz w:val="24"/>
                <w:lang w:val="en-US" w:eastAsia="zh-CN"/>
              </w:rPr>
              <w:t>1</w:t>
            </w:r>
            <w:r>
              <w:rPr>
                <w:rFonts w:hint="eastAsia" w:ascii="宋体" w:hAnsi="宋体" w:cs="宋体"/>
                <w:sz w:val="24"/>
              </w:rPr>
              <w:t>年，位于白沟新城</w:t>
            </w:r>
            <w:r>
              <w:rPr>
                <w:rFonts w:hint="eastAsia" w:ascii="宋体" w:hAnsi="宋体" w:cs="宋体"/>
                <w:sz w:val="24"/>
                <w:lang w:eastAsia="zh-CN"/>
              </w:rPr>
              <w:t>工业园区内枫杨路</w:t>
            </w:r>
            <w:r>
              <w:rPr>
                <w:rFonts w:hint="eastAsia" w:ascii="宋体" w:hAnsi="宋体" w:cs="宋体"/>
                <w:sz w:val="24"/>
                <w:lang w:val="en-US" w:eastAsia="zh-CN"/>
              </w:rPr>
              <w:t>9号</w:t>
            </w:r>
            <w:r>
              <w:rPr>
                <w:rFonts w:hint="eastAsia" w:ascii="宋体" w:hAnsi="宋体" w:cs="宋体"/>
                <w:sz w:val="24"/>
              </w:rPr>
              <w:t>，是一家以加工箱包五金配件为主的企业，公司目前年产</w:t>
            </w:r>
            <w:r>
              <w:rPr>
                <w:rFonts w:hint="eastAsia" w:ascii="宋体" w:hAnsi="宋体" w:cs="宋体"/>
                <w:sz w:val="24"/>
                <w:lang w:val="en-US" w:eastAsia="zh-CN"/>
              </w:rPr>
              <w:t>800</w:t>
            </w:r>
            <w:r>
              <w:rPr>
                <w:rFonts w:hint="eastAsia" w:ascii="宋体" w:hAnsi="宋体" w:cs="宋体"/>
                <w:sz w:val="24"/>
              </w:rPr>
              <w:t>吨五金装饰配件项目。厂区外排废水主要是电镀生产车间废水、生活污水、初期雨水。职工生活污水经隔油池和化粪池处理后，汇入生产废水排污口一并排入城镇污水管网，最终进入白沟新城污水处理厂。废水总排放口主要监测指标为流量、化学需氧量、PH值、氨氮、总铜、悬浮物、总氮、石油类、总磷、总镍、五日生化需氧量、动植物油。生产废水中含镍废水经离子交换后大部分经过滤器返回水洗槽作为清洗水，其余进入污水处理站综合废水池处理，主要污染物为总镍；有组织排放废气污染物为电镀工艺产生的硫酸雾。硫酸雾通过由集气罩＋酸雾吸收塔处理达标排放，处理后的废气经15米高排气筒排放，满足排放标准限制要求。厂界无组织废气污染物为硫酸雾。职工生活垃圾收集后统一由环卫部门清运，生产过程下脚料外售处理，全厂危险废物主要为电镀生产过程产生的污水处理站污泥，上述危险废物按照《危险废物贮存污染控制标准》要求临时储存在危险固体废物库房内，委托具有相应危险废物处置资质的</w:t>
            </w:r>
            <w:r>
              <w:rPr>
                <w:rFonts w:hint="eastAsia" w:ascii="宋体" w:hAnsi="宋体" w:cs="宋体"/>
                <w:sz w:val="24"/>
                <w:lang w:eastAsia="zh-CN"/>
              </w:rPr>
              <w:t>涞水冀东水泥有限公司</w:t>
            </w:r>
            <w:r>
              <w:rPr>
                <w:rFonts w:hint="eastAsia" w:ascii="宋体" w:hAnsi="宋体" w:cs="宋体"/>
                <w:sz w:val="24"/>
              </w:rPr>
              <w:t xml:space="preserve">进行处置。厂内噪声主要是抛光滚筒、烘干机、废气治理风机、水泵等设备运行产生的噪声，主要设备置于厂房内，采取基础减振，厂房隔声，再经距离衰减等降噪措施，满足排放标准限值要求。      </w:t>
            </w:r>
            <w:r>
              <w:rPr>
                <w:rFonts w:hint="eastAsia" w:ascii="宋体" w:hAnsi="宋体" w:cs="宋体"/>
                <w:color w:val="FF0000"/>
                <w:sz w:val="24"/>
              </w:rPr>
              <w:t xml:space="preserve">                                                                                                        </w:t>
            </w:r>
            <w:r>
              <w:rPr>
                <w:rFonts w:ascii="宋体" w:hAnsi="宋体" w:cs="宋体"/>
                <w:color w:val="FF0000"/>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企业自行监测包括自动监测和手工监测，自动监测和手工监测均委托有资质的第三方检测机构开展自行监测。</w:t>
            </w:r>
          </w:p>
          <w:p>
            <w:pPr>
              <w:spacing w:line="276" w:lineRule="auto"/>
              <w:rPr>
                <w:rFonts w:hint="eastAsia" w:ascii="宋体" w:hAnsi="宋体" w:cs="宋体"/>
                <w:b/>
                <w:sz w:val="24"/>
              </w:rPr>
            </w:pPr>
          </w:p>
          <w:p>
            <w:pPr>
              <w:spacing w:line="276" w:lineRule="auto"/>
              <w:rPr>
                <w:rFonts w:hint="eastAsia" w:ascii="宋体" w:hAnsi="宋体" w:cs="宋体"/>
                <w:sz w:val="21"/>
                <w:szCs w:val="21"/>
              </w:rPr>
            </w:pPr>
            <w:r>
              <w:rPr>
                <w:rFonts w:hint="eastAsia" w:ascii="宋体" w:hAnsi="宋体" w:cs="宋体"/>
                <w:b/>
                <w:sz w:val="24"/>
              </w:rPr>
              <w:t>2.监测依据</w:t>
            </w:r>
          </w:p>
          <w:p>
            <w:pPr>
              <w:tabs>
                <w:tab w:val="left" w:pos="446"/>
              </w:tabs>
              <w:spacing w:before="46" w:line="276" w:lineRule="auto"/>
              <w:ind w:right="132"/>
              <w:rPr>
                <w:rFonts w:hint="eastAsia" w:ascii="宋体" w:hAnsi="宋体" w:cs="宋体"/>
                <w:sz w:val="24"/>
              </w:rPr>
            </w:pPr>
            <w:r>
              <w:rPr>
                <w:rFonts w:hint="eastAsia" w:ascii="宋体" w:hAnsi="宋体" w:cs="宋体"/>
                <w:sz w:val="24"/>
              </w:rPr>
              <w:t>2.1《排污许可管理办法（试行）》(环境保护部令第48 号)</w:t>
            </w:r>
          </w:p>
          <w:p>
            <w:pPr>
              <w:tabs>
                <w:tab w:val="left" w:pos="446"/>
              </w:tabs>
              <w:spacing w:before="46" w:line="276" w:lineRule="auto"/>
              <w:ind w:right="132"/>
              <w:rPr>
                <w:rFonts w:hint="eastAsia" w:ascii="宋体" w:hAnsi="宋体" w:cs="宋体"/>
                <w:sz w:val="24"/>
              </w:rPr>
            </w:pPr>
            <w:r>
              <w:rPr>
                <w:rFonts w:hint="eastAsia" w:ascii="宋体" w:hAnsi="宋体" w:cs="宋体"/>
                <w:sz w:val="24"/>
              </w:rPr>
              <w:t>2.2 《排污许可证申请与核发技术规范 电镀工业》（HJ855-2017）</w:t>
            </w:r>
          </w:p>
          <w:p>
            <w:pPr>
              <w:tabs>
                <w:tab w:val="left" w:pos="441"/>
              </w:tabs>
              <w:spacing w:before="2" w:line="276" w:lineRule="auto"/>
              <w:rPr>
                <w:rFonts w:hint="eastAsia" w:ascii="宋体" w:hAnsi="宋体" w:cs="宋体"/>
                <w:sz w:val="24"/>
              </w:rPr>
            </w:pPr>
            <w:r>
              <w:rPr>
                <w:rFonts w:hint="eastAsia" w:ascii="宋体" w:hAnsi="宋体" w:cs="宋体"/>
                <w:sz w:val="24"/>
              </w:rPr>
              <w:t>2.3 《</w:t>
            </w:r>
            <w:r>
              <w:rPr>
                <w:rFonts w:hint="eastAsia" w:ascii="宋体" w:hAnsi="宋体" w:cs="宋体"/>
                <w:sz w:val="24"/>
                <w:lang w:eastAsia="zh-CN"/>
              </w:rPr>
              <w:t>高碑店市白沟京泽压铸厂五金饰件</w:t>
            </w:r>
            <w:r>
              <w:rPr>
                <w:rFonts w:hint="eastAsia" w:ascii="宋体" w:hAnsi="宋体" w:cs="宋体"/>
                <w:sz w:val="24"/>
              </w:rPr>
              <w:t>环境影响报告书》</w:t>
            </w:r>
          </w:p>
          <w:p>
            <w:pPr>
              <w:tabs>
                <w:tab w:val="left" w:pos="441"/>
              </w:tabs>
              <w:spacing w:before="2" w:line="276" w:lineRule="auto"/>
              <w:rPr>
                <w:rFonts w:hint="eastAsia" w:ascii="宋体" w:hAnsi="宋体" w:cs="宋体"/>
                <w:sz w:val="24"/>
              </w:rPr>
            </w:pPr>
            <w:r>
              <w:rPr>
                <w:rFonts w:hint="eastAsia" w:ascii="宋体" w:hAnsi="宋体" w:cs="宋体"/>
                <w:sz w:val="24"/>
              </w:rPr>
              <w:t>2.4 《</w:t>
            </w:r>
            <w:r>
              <w:rPr>
                <w:rFonts w:hint="eastAsia" w:ascii="宋体" w:hAnsi="宋体" w:cs="宋体"/>
                <w:sz w:val="24"/>
                <w:lang w:eastAsia="zh-CN"/>
              </w:rPr>
              <w:t>高碑店市白沟京泽压铸厂五金饰件</w:t>
            </w:r>
            <w:r>
              <w:rPr>
                <w:rFonts w:hint="eastAsia" w:ascii="宋体" w:hAnsi="宋体" w:cs="宋体"/>
                <w:sz w:val="24"/>
              </w:rPr>
              <w:t>环境影响补充报告》</w:t>
            </w:r>
          </w:p>
          <w:p>
            <w:pPr>
              <w:tabs>
                <w:tab w:val="left" w:pos="441"/>
              </w:tabs>
              <w:spacing w:before="2" w:line="276" w:lineRule="auto"/>
              <w:rPr>
                <w:rFonts w:hint="eastAsia" w:ascii="宋体" w:hAnsi="宋体" w:cs="宋体"/>
                <w:sz w:val="24"/>
              </w:rPr>
            </w:pPr>
            <w:r>
              <w:rPr>
                <w:rFonts w:hint="eastAsia" w:ascii="宋体" w:hAnsi="宋体" w:cs="宋体"/>
                <w:sz w:val="24"/>
              </w:rPr>
              <w:t>2.5《</w:t>
            </w:r>
            <w:r>
              <w:rPr>
                <w:rFonts w:hint="eastAsia" w:ascii="宋体" w:hAnsi="宋体" w:cs="宋体"/>
                <w:sz w:val="24"/>
                <w:lang w:eastAsia="zh-CN"/>
              </w:rPr>
              <w:t>高碑店市白沟京泽压铸厂五金饰件</w:t>
            </w:r>
            <w:r>
              <w:rPr>
                <w:rFonts w:hint="eastAsia" w:ascii="宋体" w:hAnsi="宋体" w:cs="宋体"/>
                <w:sz w:val="24"/>
              </w:rPr>
              <w:t>环境影响补充说明》</w:t>
            </w:r>
          </w:p>
          <w:p>
            <w:pPr>
              <w:tabs>
                <w:tab w:val="left" w:pos="441"/>
              </w:tabs>
              <w:spacing w:before="2" w:line="276" w:lineRule="auto"/>
              <w:rPr>
                <w:rFonts w:hint="eastAsia" w:ascii="宋体" w:hAnsi="宋体" w:cs="宋体"/>
                <w:sz w:val="24"/>
              </w:rPr>
            </w:pPr>
            <w:r>
              <w:rPr>
                <w:rFonts w:hint="eastAsia" w:ascii="宋体" w:hAnsi="宋体" w:cs="宋体"/>
                <w:sz w:val="24"/>
              </w:rPr>
              <w:t>2.6 《固定污染源排放烟气连续监测系统技术要求及检测方法》 （HJ/T76-2007）</w:t>
            </w:r>
          </w:p>
          <w:p>
            <w:pPr>
              <w:tabs>
                <w:tab w:val="left" w:pos="441"/>
              </w:tabs>
              <w:spacing w:before="72" w:line="276" w:lineRule="auto"/>
              <w:rPr>
                <w:rFonts w:hint="eastAsia" w:ascii="宋体" w:hAnsi="宋体" w:cs="宋体"/>
                <w:sz w:val="24"/>
              </w:rPr>
            </w:pPr>
            <w:r>
              <w:rPr>
                <w:rFonts w:hint="eastAsia" w:ascii="宋体" w:hAnsi="宋体" w:cs="宋体"/>
                <w:sz w:val="24"/>
              </w:rPr>
              <w:t>2.7 《固定源废气监测技术规范》（HJ/T 397-2007）</w:t>
            </w:r>
          </w:p>
          <w:p>
            <w:pPr>
              <w:tabs>
                <w:tab w:val="left" w:pos="441"/>
              </w:tabs>
              <w:spacing w:before="72" w:line="276" w:lineRule="auto"/>
              <w:rPr>
                <w:rFonts w:hint="eastAsia" w:ascii="宋体" w:hAnsi="宋体" w:cs="宋体"/>
                <w:sz w:val="24"/>
              </w:rPr>
            </w:pPr>
            <w:r>
              <w:rPr>
                <w:rFonts w:hint="eastAsia" w:ascii="宋体" w:hAnsi="宋体" w:cs="宋体"/>
                <w:sz w:val="24"/>
              </w:rPr>
              <w:t>2.8《地表水和污水监测技术规范》（HJ/T 91-2002）</w:t>
            </w:r>
          </w:p>
          <w:p>
            <w:pPr>
              <w:tabs>
                <w:tab w:val="left" w:pos="441"/>
              </w:tabs>
              <w:spacing w:before="72" w:line="276" w:lineRule="auto"/>
              <w:jc w:val="both"/>
              <w:rPr>
                <w:rFonts w:hint="eastAsia" w:ascii="宋体" w:hAnsi="宋体" w:cs="宋体"/>
                <w:sz w:val="24"/>
              </w:rPr>
            </w:pPr>
            <w:r>
              <w:rPr>
                <w:rFonts w:hint="eastAsia" w:ascii="宋体" w:hAnsi="宋体" w:cs="宋体"/>
                <w:sz w:val="24"/>
              </w:rPr>
              <w:t>2.9《排污单位自行监测技术指南 总则》（HJ 819-2017）</w:t>
            </w:r>
          </w:p>
          <w:p>
            <w:pPr>
              <w:spacing w:line="276" w:lineRule="auto"/>
              <w:jc w:val="both"/>
              <w:rPr>
                <w:rFonts w:hint="eastAsia" w:ascii="宋体" w:hAnsi="宋体" w:cs="宋体"/>
                <w:color w:val="FF0000"/>
                <w:sz w:val="24"/>
              </w:rPr>
            </w:pPr>
            <w:r>
              <w:rPr>
                <w:rFonts w:hint="eastAsia" w:ascii="宋体" w:hAnsi="宋体" w:cs="宋体"/>
                <w:sz w:val="24"/>
              </w:rPr>
              <w:t>2.10《排污单位自行监测技术指南火力发电及锅炉》（HJ 820-2017）</w:t>
            </w:r>
          </w:p>
          <w:p>
            <w:pPr>
              <w:spacing w:line="276" w:lineRule="auto"/>
              <w:jc w:val="both"/>
              <w:rPr>
                <w:rFonts w:hint="eastAsia" w:ascii="宋体" w:hAnsi="宋体" w:cs="宋体"/>
                <w:sz w:val="24"/>
              </w:rPr>
            </w:pPr>
            <w:r>
              <w:rPr>
                <w:rFonts w:hint="eastAsia" w:ascii="宋体" w:hAnsi="宋体" w:cs="宋体"/>
                <w:sz w:val="24"/>
              </w:rPr>
              <w:t>2.11《工业企业厂界环境噪声排放标准》（GB12348-2008）</w:t>
            </w:r>
          </w:p>
          <w:p>
            <w:pPr>
              <w:spacing w:line="276" w:lineRule="auto"/>
              <w:jc w:val="both"/>
              <w:rPr>
                <w:rFonts w:hint="eastAsia" w:ascii="宋体" w:hAnsi="宋体" w:cs="宋体"/>
                <w:sz w:val="24"/>
              </w:rPr>
            </w:pPr>
            <w:r>
              <w:rPr>
                <w:rFonts w:hint="eastAsia" w:ascii="宋体" w:hAnsi="宋体" w:cs="宋体"/>
                <w:sz w:val="24"/>
              </w:rPr>
              <w:t>2.12《大气污染物综合排放标准》（GB16297-1996）</w:t>
            </w:r>
          </w:p>
          <w:p>
            <w:pPr>
              <w:spacing w:line="276" w:lineRule="auto"/>
              <w:jc w:val="both"/>
              <w:rPr>
                <w:rFonts w:hint="eastAsia" w:ascii="宋体" w:hAnsi="宋体" w:cs="宋体"/>
                <w:sz w:val="24"/>
              </w:rPr>
            </w:pPr>
            <w:r>
              <w:rPr>
                <w:rFonts w:hint="eastAsia" w:ascii="宋体" w:hAnsi="宋体" w:cs="宋体"/>
                <w:sz w:val="24"/>
              </w:rPr>
              <w:t>2.13《电镀污染物排放标准》（</w:t>
            </w:r>
            <w:r>
              <w:rPr>
                <w:rFonts w:ascii="宋体" w:hAnsi="宋体" w:cs="宋体"/>
                <w:sz w:val="24"/>
              </w:rPr>
              <w:t>GB21900-2008</w:t>
            </w:r>
            <w:r>
              <w:rPr>
                <w:rFonts w:hint="eastAsia" w:ascii="宋体" w:hAnsi="宋体" w:cs="宋体"/>
                <w:sz w:val="24"/>
              </w:rPr>
              <w:t>）</w:t>
            </w:r>
          </w:p>
          <w:p>
            <w:pPr>
              <w:spacing w:line="276" w:lineRule="auto"/>
              <w:rPr>
                <w:rFonts w:hint="eastAsia" w:ascii="宋体" w:hAnsi="宋体" w:cs="宋体"/>
                <w:sz w:val="24"/>
              </w:rPr>
            </w:pPr>
            <w:r>
              <w:rPr>
                <w:rFonts w:hint="eastAsia" w:ascii="宋体" w:hAnsi="宋体" w:cs="宋体"/>
                <w:sz w:val="24"/>
              </w:rPr>
              <w:t>2.14《水质样品的保存和管理技术规定》HJ 493-2009</w:t>
            </w:r>
          </w:p>
          <w:p>
            <w:pPr>
              <w:spacing w:line="276" w:lineRule="auto"/>
              <w:rPr>
                <w:rFonts w:hint="eastAsia" w:ascii="宋体" w:hAnsi="宋体" w:cs="宋体"/>
                <w:sz w:val="24"/>
              </w:rPr>
            </w:pPr>
            <w:r>
              <w:rPr>
                <w:rFonts w:hint="eastAsia" w:ascii="宋体" w:hAnsi="宋体" w:cs="宋体"/>
                <w:sz w:val="24"/>
              </w:rPr>
              <w:t>2.15《水质采样技术指导》HJ 494-2009</w:t>
            </w:r>
          </w:p>
          <w:p>
            <w:pPr>
              <w:spacing w:line="276" w:lineRule="auto"/>
              <w:rPr>
                <w:rFonts w:hint="eastAsia" w:ascii="宋体" w:hAnsi="宋体" w:cs="宋体"/>
                <w:sz w:val="24"/>
              </w:rPr>
            </w:pPr>
            <w:r>
              <w:rPr>
                <w:rFonts w:hint="eastAsia" w:ascii="宋体" w:hAnsi="宋体" w:cs="宋体"/>
                <w:sz w:val="24"/>
              </w:rPr>
              <w:t>2.16《水质采样方案设计技术规定》HJ 495-2009</w:t>
            </w:r>
          </w:p>
          <w:p>
            <w:pPr>
              <w:spacing w:line="276" w:lineRule="auto"/>
              <w:rPr>
                <w:rFonts w:hint="eastAsia" w:ascii="宋体" w:hAnsi="宋体" w:cs="宋体"/>
                <w:sz w:val="24"/>
              </w:rPr>
            </w:pPr>
            <w:r>
              <w:rPr>
                <w:rFonts w:hint="eastAsia" w:ascii="宋体" w:hAnsi="宋体" w:cs="宋体"/>
                <w:sz w:val="24"/>
              </w:rPr>
              <w:t>2.17《企业事业单位环境信息公开办法》（环境保护部令第31 号）</w:t>
            </w:r>
          </w:p>
          <w:p>
            <w:pPr>
              <w:spacing w:line="276" w:lineRule="auto"/>
              <w:rPr>
                <w:rFonts w:hint="eastAsia" w:ascii="宋体" w:hAnsi="宋体" w:cs="宋体"/>
                <w:sz w:val="24"/>
              </w:rPr>
            </w:pPr>
            <w:r>
              <w:rPr>
                <w:rFonts w:hint="eastAsia" w:ascii="宋体" w:hAnsi="宋体" w:cs="宋体"/>
                <w:sz w:val="24"/>
              </w:rPr>
              <w:t>2.18《国家重点监控企业自行监测及信息公开办法（试行）》（环发〔2013〕81 号</w:t>
            </w:r>
          </w:p>
          <w:p>
            <w:pPr>
              <w:pStyle w:val="40"/>
              <w:tabs>
                <w:tab w:val="left" w:pos="7470"/>
              </w:tabs>
              <w:ind w:firstLine="0" w:firstLineChars="0"/>
              <w:rPr>
                <w:rFonts w:hint="eastAsia" w:ascii="宋体" w:hAnsi="宋体" w:cs="宋体"/>
                <w:b/>
                <w:sz w:val="24"/>
              </w:rPr>
            </w:pPr>
            <w:r>
              <w:rPr>
                <w:rFonts w:ascii="宋体" w:hAnsi="宋体" w:cs="宋体"/>
                <w:b/>
                <w:sz w:val="24"/>
              </w:rPr>
              <w:tab/>
            </w:r>
          </w:p>
          <w:p>
            <w:pPr>
              <w:pStyle w:val="40"/>
              <w:ind w:firstLine="0" w:firstLineChars="0"/>
              <w:rPr>
                <w:rFonts w:hint="eastAsia" w:ascii="宋体" w:hAnsi="宋体" w:cs="宋体"/>
                <w:b/>
                <w:sz w:val="24"/>
              </w:rPr>
            </w:pPr>
            <w:r>
              <w:rPr>
                <w:rFonts w:hint="eastAsia" w:ascii="宋体" w:hAnsi="宋体" w:cs="宋体"/>
                <w:b/>
                <w:sz w:val="24"/>
              </w:rPr>
              <w:t>3.监测项目、点位、频次及方法</w:t>
            </w:r>
          </w:p>
          <w:p>
            <w:pPr>
              <w:pStyle w:val="40"/>
              <w:ind w:firstLine="0" w:firstLineChars="0"/>
              <w:rPr>
                <w:rFonts w:hint="eastAsia" w:ascii="宋体" w:hAnsi="宋体" w:cs="宋体"/>
                <w:b/>
                <w:sz w:val="18"/>
                <w:szCs w:val="18"/>
              </w:rPr>
            </w:pPr>
            <w:r>
              <w:rPr>
                <w:rFonts w:hint="eastAsia" w:ascii="宋体" w:hAnsi="宋体" w:cs="宋体"/>
                <w:b/>
                <w:sz w:val="18"/>
                <w:szCs w:val="18"/>
              </w:rPr>
              <w:t>3.1</w:t>
            </w:r>
            <w:r>
              <w:rPr>
                <w:rFonts w:hint="eastAsia" w:ascii="宋体" w:hAnsi="宋体" w:cs="宋体"/>
                <w:sz w:val="18"/>
                <w:szCs w:val="18"/>
              </w:rPr>
              <w:t>废水监测项目、点位、频次及方法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5"/>
              <w:gridCol w:w="1136"/>
              <w:gridCol w:w="1132"/>
              <w:gridCol w:w="1045"/>
              <w:gridCol w:w="1305"/>
              <w:gridCol w:w="1260"/>
              <w:gridCol w:w="3150"/>
              <w:gridCol w:w="11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exact"/>
              </w:trPr>
              <w:tc>
                <w:tcPr>
                  <w:tcW w:w="7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项目</w:t>
                  </w:r>
                </w:p>
              </w:tc>
              <w:tc>
                <w:tcPr>
                  <w:tcW w:w="1025" w:type="dxa"/>
                  <w:shd w:val="clear" w:color="000000" w:fill="FFFFFF"/>
                  <w:noWrap w:val="0"/>
                  <w:vAlign w:val="center"/>
                </w:tcPr>
                <w:p>
                  <w:pPr>
                    <w:adjustRightInd/>
                    <w:snapToGrid/>
                    <w:spacing w:after="0"/>
                    <w:rPr>
                      <w:rFonts w:hint="eastAsia" w:ascii="宋体" w:hAnsi="宋体" w:cs="宋体"/>
                      <w:vanish/>
                      <w:sz w:val="18"/>
                      <w:szCs w:val="18"/>
                    </w:rPr>
                  </w:pPr>
                  <w:r>
                    <w:rPr>
                      <w:rFonts w:hint="eastAsia" w:ascii="宋体" w:hAnsi="宋体" w:cs="宋体"/>
                      <w:sz w:val="18"/>
                      <w:szCs w:val="18"/>
                    </w:rPr>
                    <w:t>监测点位及排放口编号经纬度</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监测指标</w:t>
                  </w:r>
                </w:p>
              </w:tc>
              <w:tc>
                <w:tcPr>
                  <w:tcW w:w="1132" w:type="dxa"/>
                  <w:shd w:val="clear" w:color="000000" w:fill="FFFFFF"/>
                  <w:noWrap w:val="0"/>
                  <w:vAlign w:val="center"/>
                </w:tcPr>
                <w:p>
                  <w:pPr>
                    <w:pStyle w:val="16"/>
                    <w:rPr>
                      <w:rFonts w:hint="eastAsia" w:ascii="宋体" w:hAnsi="宋体" w:eastAsia="宋体" w:cs="宋体"/>
                      <w:color w:val="auto"/>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执行标准</w:t>
                  </w:r>
                </w:p>
              </w:tc>
              <w:tc>
                <w:tcPr>
                  <w:tcW w:w="1045" w:type="dxa"/>
                  <w:shd w:val="clear" w:color="000000" w:fill="FFFFFF"/>
                  <w:noWrap w:val="0"/>
                  <w:vAlign w:val="center"/>
                </w:tcPr>
                <w:p>
                  <w:pPr>
                    <w:adjustRightInd/>
                    <w:snapToGrid/>
                    <w:spacing w:after="0"/>
                    <w:rPr>
                      <w:rFonts w:hint="eastAsia" w:ascii="宋体" w:hAnsi="宋体" w:cs="宋体"/>
                      <w:sz w:val="18"/>
                      <w:szCs w:val="18"/>
                    </w:rPr>
                  </w:pPr>
                </w:p>
                <w:p>
                  <w:pPr>
                    <w:adjustRightInd/>
                    <w:snapToGrid/>
                    <w:spacing w:after="0"/>
                    <w:rPr>
                      <w:rFonts w:hint="eastAsia" w:ascii="宋体" w:hAnsi="宋体" w:cs="宋体"/>
                      <w:sz w:val="18"/>
                      <w:szCs w:val="18"/>
                    </w:rPr>
                  </w:pPr>
                  <w:r>
                    <w:rPr>
                      <w:rFonts w:hint="eastAsia" w:ascii="宋体" w:hAnsi="宋体" w:cs="宋体"/>
                      <w:sz w:val="18"/>
                      <w:szCs w:val="18"/>
                    </w:rPr>
                    <w:t>许可排放限值mg/L</w:t>
                  </w:r>
                </w:p>
                <w:p>
                  <w:pPr>
                    <w:jc w:val="center"/>
                    <w:rPr>
                      <w:rFonts w:hint="eastAsia" w:ascii="宋体" w:hAnsi="宋体" w:cs="宋体"/>
                      <w:vanish/>
                      <w:sz w:val="18"/>
                      <w:szCs w:val="18"/>
                    </w:rPr>
                  </w:pPr>
                </w:p>
              </w:tc>
              <w:tc>
                <w:tcPr>
                  <w:tcW w:w="1305"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150"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185" w:type="dxa"/>
                  <w:noWrap w:val="0"/>
                  <w:vAlign w:val="center"/>
                </w:tcPr>
                <w:p>
                  <w:pPr>
                    <w:pStyle w:val="16"/>
                    <w:rPr>
                      <w:rFonts w:hint="eastAsia" w:ascii="宋体" w:hAnsi="宋体" w:eastAsia="宋体" w:cs="宋体"/>
                      <w:color w:val="auto"/>
                      <w:sz w:val="18"/>
                      <w:szCs w:val="18"/>
                    </w:rPr>
                  </w:pPr>
                  <w:r>
                    <w:rPr>
                      <w:rFonts w:hint="eastAsia" w:ascii="宋体" w:hAnsi="宋体" w:eastAsia="宋体" w:cs="宋体"/>
                      <w:color w:val="auto"/>
                      <w:sz w:val="18"/>
                      <w:szCs w:val="18"/>
                    </w:rPr>
                    <w:t>采样方法</w:t>
                  </w:r>
                </w:p>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784" w:type="dxa"/>
                  <w:vMerge w:val="restart"/>
                  <w:shd w:val="clear" w:color="000000" w:fill="FFFFFF"/>
                  <w:noWrap w:val="0"/>
                  <w:vAlign w:val="center"/>
                </w:tcPr>
                <w:p>
                  <w:pPr>
                    <w:rPr>
                      <w:rFonts w:hint="eastAsia" w:ascii="宋体" w:hAnsi="宋体" w:cs="宋体"/>
                      <w:b/>
                      <w:sz w:val="18"/>
                      <w:szCs w:val="18"/>
                    </w:rPr>
                  </w:pPr>
                  <w:r>
                    <w:rPr>
                      <w:rFonts w:hint="eastAsia" w:ascii="宋体" w:hAnsi="宋体" w:cs="宋体"/>
                      <w:b/>
                      <w:sz w:val="18"/>
                      <w:szCs w:val="18"/>
                    </w:rPr>
                    <w:t>废水</w:t>
                  </w:r>
                </w:p>
              </w:tc>
              <w:tc>
                <w:tcPr>
                  <w:tcW w:w="1025" w:type="dxa"/>
                  <w:vMerge w:val="restart"/>
                  <w:shd w:val="clear" w:color="000000" w:fill="FFFFFF"/>
                  <w:noWrap w:val="0"/>
                  <w:vAlign w:val="center"/>
                </w:tcPr>
                <w:p>
                  <w:pPr>
                    <w:adjustRightInd/>
                    <w:snapToGrid/>
                    <w:spacing w:after="0"/>
                    <w:jc w:val="center"/>
                    <w:rPr>
                      <w:rFonts w:hint="eastAsia" w:ascii="宋体" w:hAnsi="宋体" w:eastAsia="宋体" w:cs="宋体"/>
                      <w:b/>
                      <w:sz w:val="18"/>
                      <w:szCs w:val="18"/>
                      <w:lang w:val="en-US" w:eastAsia="zh-CN"/>
                    </w:rPr>
                  </w:pPr>
                  <w:r>
                    <w:rPr>
                      <w:rFonts w:hint="eastAsia" w:ascii="宋体" w:hAnsi="宋体" w:cs="宋体"/>
                      <w:b/>
                      <w:sz w:val="18"/>
                      <w:szCs w:val="18"/>
                    </w:rPr>
                    <w:t>生产废水总排放口   ws-0000</w:t>
                  </w:r>
                  <w:r>
                    <w:rPr>
                      <w:rFonts w:hint="eastAsia" w:ascii="宋体" w:hAnsi="宋体" w:cs="宋体"/>
                      <w:b/>
                      <w:sz w:val="18"/>
                      <w:szCs w:val="18"/>
                      <w:lang w:val="en-US" w:eastAsia="zh-CN"/>
                    </w:rPr>
                    <w:t>1</w:t>
                  </w:r>
                </w:p>
                <w:p>
                  <w:pPr>
                    <w:adjustRightInd/>
                    <w:snapToGrid/>
                    <w:spacing w:after="0"/>
                    <w:jc w:val="center"/>
                    <w:rPr>
                      <w:rFonts w:hint="eastAsia" w:ascii="宋体" w:hAnsi="宋体" w:cs="宋体"/>
                      <w:sz w:val="18"/>
                      <w:szCs w:val="18"/>
                    </w:rPr>
                  </w:pPr>
                </w:p>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jc w:val="center"/>
                    <w:rPr>
                      <w:rFonts w:hint="eastAsia" w:ascii="宋体" w:hAnsi="宋体" w:cs="宋体"/>
                      <w:sz w:val="18"/>
                      <w:szCs w:val="18"/>
                    </w:rPr>
                  </w:pPr>
                  <w:r>
                    <w:rPr>
                      <w:rFonts w:hint="eastAsia"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80</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eastAsia="zh-CN"/>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化学需氧量的测定 重铬酸盐法》 GB/T 11914-1989</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p>
                  <w:pPr>
                    <w:adjustRightInd/>
                    <w:snapToGrid/>
                    <w:spacing w:after="0"/>
                    <w:jc w:val="center"/>
                    <w:rPr>
                      <w:rFonts w:hint="eastAsia" w:ascii="宋体" w:hAnsi="宋体" w:cs="宋体"/>
                      <w:sz w:val="18"/>
                      <w:szCs w:val="18"/>
                    </w:rPr>
                  </w:pPr>
                </w:p>
              </w:tc>
              <w:tc>
                <w:tcPr>
                  <w:tcW w:w="2971" w:type="dxa"/>
                  <w:noWrap w:val="0"/>
                  <w:vAlign w:val="center"/>
                </w:tcPr>
                <w:p>
                  <w:pPr>
                    <w:pStyle w:val="16"/>
                    <w:jc w:val="center"/>
                    <w:rPr>
                      <w:rFonts w:hint="eastAsia" w:ascii="宋体" w:hAnsi="宋体" w:eastAsia="宋体" w:cs="宋体"/>
                      <w:color w:val="auto"/>
                      <w:sz w:val="18"/>
                      <w:szCs w:val="18"/>
                    </w:rPr>
                  </w:pPr>
                  <w:r>
                    <w:rPr>
                      <w:rFonts w:hint="eastAsia" w:ascii="宋体" w:hAnsi="宋体" w:eastAsia="宋体" w:cs="宋体"/>
                      <w:color w:val="auto"/>
                      <w:sz w:val="18"/>
                      <w:szCs w:val="18"/>
                    </w:rPr>
                    <w:t>设备故障时，采用手工监测，每日监测不少于4次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氨氮</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氨氮的测定　 纳氏试剂分光光度法》 HJ 535-2009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6-9</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eastAsia="zh-CN"/>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设备故障时，采用手工监测，每日监测不少于4次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流量</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总铜</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苯胺类的测定 N-（1奈基）乙二胺偶氮分光光度法》GB/T11889-1989</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悬浮物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1次/月   </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总氮（以N计）</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20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总氮的测定 碱性过硫酸钾消解紫外分光光度法》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636-2012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石油类</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3.0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五日生化需氧量（BOD</w:t>
                  </w:r>
                  <w:r>
                    <w:rPr>
                      <w:rFonts w:hint="eastAsia" w:ascii="宋体" w:hAnsi="宋体" w:cs="宋体"/>
                      <w:sz w:val="18"/>
                      <w:szCs w:val="18"/>
                      <w:vertAlign w:val="subscript"/>
                    </w:rPr>
                    <w:t>5</w:t>
                  </w:r>
                  <w:r>
                    <w:rPr>
                      <w:rFonts w:hint="eastAsia" w:ascii="宋体" w:hAnsi="宋体" w:cs="宋体"/>
                      <w:sz w:val="18"/>
                      <w:szCs w:val="18"/>
                    </w:rPr>
                    <w:t>）的测定 稀释与接种法》 HJ 505-2009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总磷（以P计）</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总磷的测定 流动注射-钼酸铵分光光度法》HJ671-2013</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五日生化需氧</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230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1次/季度</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《水质五日生化需氧量（BOD5）的测定 稀释与接种法》 </w:t>
                  </w:r>
                </w:p>
                <w:p>
                  <w:pPr>
                    <w:adjustRightInd/>
                    <w:snapToGrid/>
                    <w:spacing w:after="0"/>
                    <w:jc w:val="center"/>
                    <w:rPr>
                      <w:rFonts w:hint="eastAsia" w:ascii="宋体" w:hAnsi="宋体" w:cs="宋体"/>
                      <w:sz w:val="18"/>
                      <w:szCs w:val="18"/>
                    </w:rPr>
                  </w:pPr>
                  <w:r>
                    <w:rPr>
                      <w:rFonts w:ascii="宋体" w:hAnsi="宋体" w:cs="宋体"/>
                      <w:sz w:val="18"/>
                      <w:szCs w:val="18"/>
                    </w:rPr>
                    <w:t>HJ 505-2009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满足污水综合排放标准，同时满足污水处理厂进水要求。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动植物油</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100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1次/季度</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石油类和动植物油类的测定 红外分光光度法》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637-2012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满足污水综合排放标准，同时满足污水处理厂进水要求。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exact"/>
              </w:trPr>
              <w:tc>
                <w:tcPr>
                  <w:tcW w:w="784" w:type="dxa"/>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废水</w:t>
                  </w:r>
                </w:p>
              </w:tc>
              <w:tc>
                <w:tcPr>
                  <w:tcW w:w="1025" w:type="dxa"/>
                  <w:shd w:val="clear" w:color="auto" w:fill="auto"/>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rPr>
                    <w:t>含镍生产车间废水排放口WS-0000</w:t>
                  </w:r>
                  <w:r>
                    <w:rPr>
                      <w:rFonts w:hint="eastAsia" w:ascii="宋体" w:hAnsi="宋体" w:cs="宋体"/>
                      <w:sz w:val="18"/>
                      <w:szCs w:val="18"/>
                      <w:lang w:val="en-US" w:eastAsia="zh-CN"/>
                    </w:rPr>
                    <w:t>2</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总镍</w:t>
                  </w:r>
                </w:p>
              </w:tc>
              <w:tc>
                <w:tcPr>
                  <w:tcW w:w="1132"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adjustRightInd/>
                    <w:snapToGrid/>
                    <w:spacing w:after="0"/>
                    <w:jc w:val="center"/>
                    <w:rPr>
                      <w:rFonts w:hint="eastAsia" w:ascii="宋体" w:hAnsi="宋体" w:cs="宋体"/>
                      <w:sz w:val="18"/>
                      <w:szCs w:val="18"/>
                    </w:rPr>
                  </w:pPr>
                  <w:r>
                    <w:rPr>
                      <w:rFonts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镍的测定 火焰原子吸收分光光度法》</w:t>
                  </w:r>
                  <w:r>
                    <w:rPr>
                      <w:rFonts w:ascii="宋体" w:hAnsi="宋体" w:cs="宋体"/>
                      <w:sz w:val="18"/>
                      <w:szCs w:val="18"/>
                    </w:rPr>
                    <w:t>GB 11912-89</w:t>
                  </w:r>
                </w:p>
              </w:tc>
              <w:tc>
                <w:tcPr>
                  <w:tcW w:w="1185"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瞬时采样 至少3个瞬时样</w:t>
                  </w:r>
                </w:p>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bl>
          <w:p>
            <w:pPr>
              <w:pStyle w:val="40"/>
              <w:tabs>
                <w:tab w:val="left" w:pos="3990"/>
              </w:tabs>
              <w:ind w:firstLine="0" w:firstLineChars="0"/>
              <w:rPr>
                <w:rFonts w:hint="eastAsia" w:ascii="宋体" w:hAnsi="宋体" w:cs="宋体"/>
                <w:b/>
                <w:sz w:val="18"/>
                <w:szCs w:val="18"/>
              </w:rPr>
            </w:pPr>
          </w:p>
          <w:p>
            <w:pPr>
              <w:pStyle w:val="40"/>
              <w:tabs>
                <w:tab w:val="left" w:pos="3990"/>
              </w:tabs>
              <w:ind w:firstLine="0" w:firstLineChars="0"/>
              <w:rPr>
                <w:rFonts w:hint="eastAsia" w:ascii="宋体" w:hAnsi="宋体" w:cs="宋体"/>
                <w:b/>
                <w:sz w:val="18"/>
                <w:szCs w:val="18"/>
              </w:rPr>
            </w:pPr>
            <w:r>
              <w:rPr>
                <w:rFonts w:hint="eastAsia" w:ascii="宋体" w:hAnsi="宋体" w:cs="宋体"/>
                <w:b/>
                <w:sz w:val="18"/>
                <w:szCs w:val="18"/>
              </w:rPr>
              <w:t>3.2</w:t>
            </w:r>
            <w:r>
              <w:rPr>
                <w:rFonts w:hint="eastAsia" w:ascii="宋体" w:hAnsi="宋体" w:cs="宋体"/>
                <w:sz w:val="18"/>
                <w:szCs w:val="18"/>
              </w:rPr>
              <w:t>有组织废气监测项目、点位、频次及方法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00"/>
              <w:gridCol w:w="1090"/>
              <w:gridCol w:w="2907"/>
              <w:gridCol w:w="1138"/>
              <w:gridCol w:w="681"/>
              <w:gridCol w:w="839"/>
              <w:gridCol w:w="3253"/>
              <w:gridCol w:w="93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01"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排放形式</w:t>
                  </w:r>
                </w:p>
              </w:tc>
              <w:tc>
                <w:tcPr>
                  <w:tcW w:w="1100"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090"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监测指标</w:t>
                  </w:r>
                </w:p>
              </w:tc>
              <w:tc>
                <w:tcPr>
                  <w:tcW w:w="2907" w:type="dxa"/>
                  <w:shd w:val="clear" w:color="000000" w:fill="FFFFFF"/>
                  <w:noWrap w:val="0"/>
                  <w:vAlign w:val="center"/>
                </w:tcPr>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138" w:type="dxa"/>
                  <w:shd w:val="clear" w:color="000000" w:fill="FFFFFF"/>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 m³</w:t>
                  </w:r>
                </w:p>
                <w:p>
                  <w:pPr>
                    <w:jc w:val="center"/>
                    <w:rPr>
                      <w:rFonts w:hint="eastAsia" w:ascii="宋体" w:hAnsi="宋体" w:cs="宋体"/>
                      <w:vanish/>
                      <w:sz w:val="18"/>
                      <w:szCs w:val="18"/>
                    </w:rPr>
                  </w:pPr>
                </w:p>
              </w:tc>
              <w:tc>
                <w:tcPr>
                  <w:tcW w:w="681" w:type="dxa"/>
                  <w:noWrap w:val="0"/>
                  <w:vAlign w:val="center"/>
                </w:tcPr>
                <w:p>
                  <w:pPr>
                    <w:pStyle w:val="16"/>
                    <w:jc w:val="center"/>
                    <w:rPr>
                      <w:rFonts w:hint="eastAsia" w:ascii="宋体" w:hAnsi="宋体" w:eastAsia="宋体" w:cs="宋体"/>
                      <w:sz w:val="18"/>
                      <w:szCs w:val="18"/>
                    </w:rPr>
                  </w:pPr>
                </w:p>
                <w:p>
                  <w:pPr>
                    <w:pStyle w:val="16"/>
                    <w:jc w:val="center"/>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8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253"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930" w:type="dxa"/>
                  <w:noWrap w:val="0"/>
                  <w:vAlign w:val="center"/>
                </w:tcPr>
                <w:p>
                  <w:pPr>
                    <w:pStyle w:val="16"/>
                    <w:jc w:val="center"/>
                    <w:rPr>
                      <w:rFonts w:hint="eastAsia" w:ascii="宋体" w:hAnsi="宋体" w:eastAsia="宋体" w:cs="宋体"/>
                      <w:sz w:val="21"/>
                      <w:szCs w:val="21"/>
                    </w:rPr>
                  </w:pPr>
                </w:p>
                <w:p>
                  <w:pPr>
                    <w:pStyle w:val="16"/>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采样 方法</w:t>
                  </w:r>
                </w:p>
                <w:p>
                  <w:pPr>
                    <w:adjustRightInd/>
                    <w:snapToGrid/>
                    <w:spacing w:after="0"/>
                    <w:jc w:val="center"/>
                    <w:rPr>
                      <w:rFonts w:hint="eastAsia" w:ascii="宋体" w:hAnsi="宋体" w:cs="宋体"/>
                      <w:sz w:val="18"/>
                      <w:szCs w:val="18"/>
                    </w:rPr>
                  </w:pPr>
                </w:p>
              </w:tc>
              <w:tc>
                <w:tcPr>
                  <w:tcW w:w="1489" w:type="dxa"/>
                  <w:noWrap w:val="0"/>
                  <w:vAlign w:val="center"/>
                </w:tcPr>
                <w:p>
                  <w:pPr>
                    <w:pStyle w:val="16"/>
                    <w:rPr>
                      <w:rFonts w:hint="eastAsia" w:ascii="宋体" w:hAnsi="宋体" w:eastAsia="宋体" w:cs="宋体"/>
                      <w:sz w:val="21"/>
                      <w:szCs w:val="21"/>
                    </w:rPr>
                  </w:pPr>
                </w:p>
                <w:p>
                  <w:pPr>
                    <w:pStyle w:val="16"/>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1" w:type="dxa"/>
                  <w:shd w:val="clear" w:color="auto" w:fill="auto"/>
                  <w:noWrap w:val="0"/>
                  <w:vAlign w:val="center"/>
                </w:tcPr>
                <w:p>
                  <w:pPr>
                    <w:adjustRightInd/>
                    <w:snapToGrid/>
                    <w:spacing w:after="0"/>
                    <w:rPr>
                      <w:rFonts w:hint="eastAsia" w:ascii="宋体" w:hAnsi="宋体" w:eastAsia="宋体" w:cs="宋体"/>
                      <w:color w:val="333333"/>
                      <w:sz w:val="21"/>
                      <w:szCs w:val="21"/>
                      <w:lang w:val="en-US" w:eastAsia="zh-CN"/>
                    </w:rPr>
                  </w:pPr>
                </w:p>
              </w:tc>
              <w:tc>
                <w:tcPr>
                  <w:tcW w:w="1100" w:type="dxa"/>
                  <w:shd w:val="clear" w:color="auto" w:fill="auto"/>
                  <w:noWrap w:val="0"/>
                  <w:vAlign w:val="center"/>
                </w:tcPr>
                <w:p>
                  <w:pPr>
                    <w:adjustRightInd/>
                    <w:snapToGrid/>
                    <w:spacing w:after="0"/>
                    <w:rPr>
                      <w:rFonts w:hint="eastAsia" w:ascii="宋体" w:hAnsi="宋体" w:eastAsia="宋体" w:cs="宋体"/>
                      <w:color w:val="333333"/>
                      <w:sz w:val="21"/>
                      <w:szCs w:val="21"/>
                      <w:lang w:val="en-US" w:eastAsia="zh-CN"/>
                    </w:rPr>
                  </w:pPr>
                  <w:r>
                    <w:rPr>
                      <w:rFonts w:hint="eastAsia" w:ascii="宋体" w:hAnsi="宋体" w:cs="宋体"/>
                      <w:color w:val="333333"/>
                      <w:sz w:val="21"/>
                      <w:szCs w:val="21"/>
                      <w:lang w:val="en-US" w:eastAsia="zh-CN"/>
                    </w:rPr>
                    <w:t>FQ-0002、0003、</w:t>
                  </w:r>
                </w:p>
              </w:tc>
              <w:tc>
                <w:tcPr>
                  <w:tcW w:w="1090"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硫酸雾</w:t>
                  </w:r>
                </w:p>
              </w:tc>
              <w:tc>
                <w:tcPr>
                  <w:tcW w:w="2907"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电镀污染物排放标准》</w:t>
                  </w:r>
                </w:p>
                <w:p>
                  <w:pPr>
                    <w:adjustRightInd/>
                    <w:snapToGrid/>
                    <w:spacing w:after="0"/>
                    <w:jc w:val="center"/>
                    <w:rPr>
                      <w:rFonts w:hint="eastAsia" w:ascii="宋体" w:hAnsi="宋体" w:cs="宋体"/>
                      <w:color w:val="333333"/>
                      <w:sz w:val="21"/>
                      <w:szCs w:val="21"/>
                    </w:rPr>
                  </w:pPr>
                  <w:r>
                    <w:rPr>
                      <w:rFonts w:ascii="宋体" w:hAnsi="宋体" w:cs="宋体"/>
                      <w:sz w:val="18"/>
                      <w:szCs w:val="18"/>
                    </w:rPr>
                    <w:t>GB21900-2008</w:t>
                  </w:r>
                </w:p>
              </w:tc>
              <w:tc>
                <w:tcPr>
                  <w:tcW w:w="1138"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30</w:t>
                  </w:r>
                </w:p>
              </w:tc>
              <w:tc>
                <w:tcPr>
                  <w:tcW w:w="68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8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253"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《固定污染源废气 硫酸雾的测定 离子色谱法》</w:t>
                  </w:r>
                  <w:r>
                    <w:rPr>
                      <w:rFonts w:ascii="宋体" w:hAnsi="宋体" w:cs="宋体"/>
                      <w:sz w:val="18"/>
                      <w:szCs w:val="18"/>
                    </w:rPr>
                    <w:t>HJ 544-2016</w:t>
                  </w:r>
                </w:p>
              </w:tc>
              <w:tc>
                <w:tcPr>
                  <w:tcW w:w="930" w:type="dxa"/>
                  <w:noWrap w:val="0"/>
                  <w:vAlign w:val="top"/>
                </w:tcPr>
                <w:p>
                  <w:pPr>
                    <w:adjustRightInd/>
                    <w:snapToGrid/>
                    <w:spacing w:after="0"/>
                    <w:jc w:val="center"/>
                    <w:rPr>
                      <w:rFonts w:ascii="宋体" w:hAnsi="宋体" w:cs="宋体"/>
                      <w:sz w:val="18"/>
                      <w:szCs w:val="18"/>
                    </w:rPr>
                  </w:pPr>
                </w:p>
              </w:tc>
              <w:tc>
                <w:tcPr>
                  <w:tcW w:w="148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1" w:type="dxa"/>
                  <w:shd w:val="clear" w:color="auto" w:fill="auto"/>
                  <w:noWrap w:val="0"/>
                  <w:vAlign w:val="center"/>
                </w:tcPr>
                <w:p>
                  <w:pPr>
                    <w:adjustRightInd/>
                    <w:snapToGrid/>
                    <w:spacing w:after="0"/>
                    <w:rPr>
                      <w:rFonts w:hint="eastAsia" w:ascii="宋体" w:hAnsi="宋体" w:cs="宋体"/>
                      <w:color w:val="333333"/>
                      <w:sz w:val="21"/>
                      <w:szCs w:val="21"/>
                      <w:lang w:val="en-US" w:eastAsia="zh-CN"/>
                    </w:rPr>
                  </w:pPr>
                </w:p>
              </w:tc>
              <w:tc>
                <w:tcPr>
                  <w:tcW w:w="1100" w:type="dxa"/>
                  <w:shd w:val="clear" w:color="auto" w:fill="auto"/>
                  <w:noWrap w:val="0"/>
                  <w:vAlign w:val="center"/>
                </w:tcPr>
                <w:p>
                  <w:pPr>
                    <w:adjustRightInd/>
                    <w:snapToGrid/>
                    <w:spacing w:after="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FQ-0001</w:t>
                  </w:r>
                </w:p>
              </w:tc>
              <w:tc>
                <w:tcPr>
                  <w:tcW w:w="1090" w:type="dxa"/>
                  <w:shd w:val="clear" w:color="000000" w:fill="FFFFFF"/>
                  <w:noWrap w:val="0"/>
                  <w:vAlign w:val="center"/>
                </w:tcPr>
                <w:p>
                  <w:pPr>
                    <w:adjustRightInd/>
                    <w:snapToGrid/>
                    <w:spacing w:after="0"/>
                    <w:jc w:val="center"/>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挥发性有机物</w:t>
                  </w:r>
                </w:p>
              </w:tc>
              <w:tc>
                <w:tcPr>
                  <w:tcW w:w="2907" w:type="dxa"/>
                  <w:shd w:val="clear" w:color="000000" w:fill="FFFFFF"/>
                  <w:noWrap w:val="0"/>
                  <w:vAlign w:val="center"/>
                </w:tcPr>
                <w:p>
                  <w:pPr>
                    <w:adjustRightInd/>
                    <w:snapToGrid/>
                    <w:spacing w:after="0"/>
                    <w:jc w:val="center"/>
                    <w:rPr>
                      <w:rFonts w:hint="eastAsia" w:ascii="宋体" w:hAnsi="宋体" w:eastAsia="宋体" w:cs="宋体"/>
                      <w:color w:val="333333"/>
                      <w:sz w:val="21"/>
                      <w:szCs w:val="21"/>
                      <w:lang w:val="en-US" w:eastAsia="zh-CN"/>
                    </w:rPr>
                  </w:pPr>
                  <w:r>
                    <w:rPr>
                      <w:rFonts w:ascii="Arial" w:hAnsi="Arial" w:eastAsia="宋体" w:cs="Arial"/>
                      <w:b w:val="0"/>
                      <w:i w:val="0"/>
                      <w:caps w:val="0"/>
                      <w:color w:val="333333"/>
                      <w:spacing w:val="0"/>
                      <w:sz w:val="21"/>
                      <w:szCs w:val="21"/>
                      <w:shd w:val="clear" w:color="auto" w:fill="FFFFFF"/>
                    </w:rPr>
                    <w:t>《工业企业挥发性有机物排放控制标准》DB13/2322-2016</w:t>
                  </w:r>
                </w:p>
              </w:tc>
              <w:tc>
                <w:tcPr>
                  <w:tcW w:w="1138"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80</w:t>
                  </w:r>
                </w:p>
              </w:tc>
              <w:tc>
                <w:tcPr>
                  <w:tcW w:w="681"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手工</w:t>
                  </w:r>
                </w:p>
              </w:tc>
              <w:tc>
                <w:tcPr>
                  <w:tcW w:w="839"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1次/半年</w:t>
                  </w:r>
                </w:p>
              </w:tc>
              <w:tc>
                <w:tcPr>
                  <w:tcW w:w="3253" w:type="dxa"/>
                  <w:noWrap w:val="0"/>
                  <w:vAlign w:val="center"/>
                </w:tcPr>
                <w:p>
                  <w:pPr>
                    <w:adjustRightInd/>
                    <w:snapToGrid/>
                    <w:spacing w:after="0"/>
                    <w:jc w:val="center"/>
                    <w:rPr>
                      <w:rFonts w:hint="eastAsia" w:ascii="宋体" w:hAnsi="宋体" w:cs="宋体"/>
                      <w:sz w:val="18"/>
                      <w:szCs w:val="18"/>
                    </w:rPr>
                  </w:pPr>
                </w:p>
              </w:tc>
              <w:tc>
                <w:tcPr>
                  <w:tcW w:w="930" w:type="dxa"/>
                  <w:noWrap w:val="0"/>
                  <w:vAlign w:val="top"/>
                </w:tcPr>
                <w:p>
                  <w:pPr>
                    <w:adjustRightInd/>
                    <w:snapToGrid/>
                    <w:spacing w:after="0"/>
                    <w:jc w:val="center"/>
                    <w:rPr>
                      <w:rFonts w:ascii="宋体" w:hAnsi="宋体" w:cs="宋体"/>
                      <w:sz w:val="18"/>
                      <w:szCs w:val="18"/>
                    </w:rPr>
                  </w:pPr>
                </w:p>
              </w:tc>
              <w:tc>
                <w:tcPr>
                  <w:tcW w:w="1489"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r>
          </w:tbl>
          <w:p>
            <w:pPr>
              <w:pStyle w:val="40"/>
              <w:ind w:firstLine="0" w:firstLineChars="0"/>
              <w:rPr>
                <w:rFonts w:hint="eastAsia" w:ascii="宋体" w:hAnsi="宋体" w:cs="宋体"/>
                <w:b/>
                <w:sz w:val="23"/>
                <w:szCs w:val="23"/>
              </w:rPr>
            </w:pPr>
          </w:p>
          <w:p>
            <w:pPr>
              <w:pStyle w:val="40"/>
              <w:ind w:firstLine="0" w:firstLineChars="0"/>
              <w:rPr>
                <w:rFonts w:hint="eastAsia" w:ascii="宋体" w:hAnsi="宋体" w:cs="宋体"/>
                <w:b/>
                <w:sz w:val="21"/>
                <w:szCs w:val="21"/>
              </w:rPr>
            </w:pPr>
            <w:r>
              <w:rPr>
                <w:rFonts w:hint="eastAsia" w:ascii="宋体" w:hAnsi="宋体" w:cs="宋体"/>
                <w:b/>
                <w:sz w:val="18"/>
                <w:szCs w:val="18"/>
              </w:rPr>
              <w:t>3.3</w:t>
            </w:r>
            <w:r>
              <w:rPr>
                <w:rFonts w:hint="eastAsia" w:ascii="宋体" w:hAnsi="宋体" w:cs="宋体"/>
                <w:sz w:val="18"/>
                <w:szCs w:val="18"/>
              </w:rPr>
              <w:t>无组织废气及噪声监测项目、点位、频次及方法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1082"/>
              <w:gridCol w:w="3497"/>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排放形式</w:t>
                  </w:r>
                </w:p>
              </w:tc>
              <w:tc>
                <w:tcPr>
                  <w:tcW w:w="1167"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监测指标</w:t>
                  </w:r>
                </w:p>
              </w:tc>
              <w:tc>
                <w:tcPr>
                  <w:tcW w:w="3253" w:type="dxa"/>
                  <w:shd w:val="clear" w:color="000000" w:fill="FFFFFF"/>
                  <w:noWrap w:val="0"/>
                  <w:vAlign w:val="center"/>
                </w:tcPr>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274" w:type="dxa"/>
                  <w:shd w:val="clear" w:color="000000" w:fill="FFFFFF"/>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mg/N m³</w:t>
                  </w:r>
                </w:p>
                <w:p>
                  <w:pPr>
                    <w:jc w:val="center"/>
                    <w:rPr>
                      <w:rFonts w:hint="eastAsia" w:ascii="宋体" w:hAnsi="宋体" w:cs="宋体"/>
                      <w:vanish/>
                      <w:sz w:val="18"/>
                      <w:szCs w:val="18"/>
                    </w:rPr>
                  </w:pPr>
                </w:p>
              </w:tc>
              <w:tc>
                <w:tcPr>
                  <w:tcW w:w="762" w:type="dxa"/>
                  <w:noWrap w:val="0"/>
                  <w:vAlign w:val="center"/>
                </w:tcPr>
                <w:p>
                  <w:pPr>
                    <w:pStyle w:val="16"/>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108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497"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041" w:type="dxa"/>
                  <w:noWrap w:val="0"/>
                  <w:vAlign w:val="center"/>
                </w:tcPr>
                <w:p>
                  <w:pPr>
                    <w:pStyle w:val="16"/>
                    <w:ind w:left="180" w:hanging="180" w:hangingChars="100"/>
                    <w:rPr>
                      <w:rFonts w:hint="eastAsia" w:ascii="宋体" w:hAnsi="宋体" w:eastAsia="宋体" w:cs="宋体"/>
                      <w:sz w:val="18"/>
                      <w:szCs w:val="18"/>
                    </w:rPr>
                  </w:pPr>
                  <w:r>
                    <w:rPr>
                      <w:rFonts w:hint="eastAsia" w:ascii="宋体" w:hAnsi="宋体" w:eastAsia="宋体" w:cs="宋体"/>
                      <w:sz w:val="18"/>
                      <w:szCs w:val="18"/>
                    </w:rPr>
                    <w:t>采样方法</w:t>
                  </w:r>
                </w:p>
                <w:p>
                  <w:pPr>
                    <w:adjustRightInd/>
                    <w:snapToGrid/>
                    <w:spacing w:after="0"/>
                    <w:jc w:val="center"/>
                    <w:rPr>
                      <w:rFonts w:hint="eastAsia" w:ascii="宋体" w:hAnsi="宋体" w:cs="宋体"/>
                      <w:sz w:val="18"/>
                      <w:szCs w:val="18"/>
                    </w:rPr>
                  </w:pPr>
                </w:p>
              </w:tc>
              <w:tc>
                <w:tcPr>
                  <w:tcW w:w="849"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ind w:firstLine="270" w:firstLineChars="150"/>
                    <w:rPr>
                      <w:rFonts w:hint="eastAsia" w:ascii="宋体" w:hAnsi="宋体" w:cs="宋体"/>
                      <w:color w:val="333333"/>
                      <w:sz w:val="18"/>
                      <w:szCs w:val="18"/>
                    </w:rPr>
                  </w:pPr>
                  <w:r>
                    <w:rPr>
                      <w:rFonts w:hint="eastAsia" w:ascii="宋体" w:hAnsi="宋体" w:cs="宋体"/>
                      <w:color w:val="333333"/>
                      <w:sz w:val="18"/>
                      <w:szCs w:val="18"/>
                    </w:rPr>
                    <w:t>硫酸雾</w:t>
                  </w:r>
                </w:p>
              </w:tc>
              <w:tc>
                <w:tcPr>
                  <w:tcW w:w="3253" w:type="dxa"/>
                  <w:shd w:val="clear" w:color="000000" w:fill="FFFFFF"/>
                  <w:noWrap w:val="0"/>
                  <w:vAlign w:val="center"/>
                </w:tcPr>
                <w:p>
                  <w:pP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ind w:firstLine="270" w:firstLineChars="150"/>
                    <w:jc w:val="center"/>
                    <w:rPr>
                      <w:rFonts w:hint="eastAsia" w:ascii="宋体" w:hAnsi="宋体" w:cs="宋体"/>
                      <w:color w:val="333333"/>
                      <w:sz w:val="18"/>
                      <w:szCs w:val="18"/>
                    </w:rPr>
                  </w:pPr>
                  <w:r>
                    <w:rPr>
                      <w:rFonts w:hint="eastAsia" w:ascii="宋体" w:hAnsi="宋体" w:cs="宋体"/>
                      <w:color w:val="333333"/>
                      <w:sz w:val="18"/>
                      <w:szCs w:val="18"/>
                    </w:rPr>
                    <w:t>1.2</w:t>
                  </w:r>
                </w:p>
              </w:tc>
              <w:tc>
                <w:tcPr>
                  <w:tcW w:w="762" w:type="dxa"/>
                  <w:noWrap w:val="0"/>
                  <w:vAlign w:val="top"/>
                </w:tcPr>
                <w:p>
                  <w:pPr>
                    <w:jc w:val="center"/>
                    <w:rPr>
                      <w:rFonts w:hint="eastAsia" w:ascii="宋体" w:hAnsi="宋体" w:cs="宋体"/>
                      <w:sz w:val="18"/>
                      <w:szCs w:val="18"/>
                    </w:rPr>
                  </w:pPr>
                </w:p>
              </w:tc>
              <w:tc>
                <w:tcPr>
                  <w:tcW w:w="1082" w:type="dxa"/>
                  <w:noWrap w:val="0"/>
                  <w:vAlign w:val="center"/>
                </w:tcPr>
                <w:p>
                  <w:pPr>
                    <w:jc w:val="center"/>
                    <w:rPr>
                      <w:rFonts w:hint="eastAsia" w:ascii="宋体" w:hAnsi="宋体" w:cs="宋体"/>
                      <w:sz w:val="18"/>
                      <w:szCs w:val="18"/>
                    </w:rPr>
                  </w:pPr>
                  <w:r>
                    <w:rPr>
                      <w:rFonts w:hint="eastAsia" w:ascii="宋体" w:hAnsi="宋体" w:cs="宋体"/>
                      <w:sz w:val="18"/>
                      <w:szCs w:val="18"/>
                    </w:rPr>
                    <w:t>1次/年</w:t>
                  </w:r>
                </w:p>
              </w:tc>
              <w:tc>
                <w:tcPr>
                  <w:tcW w:w="3497" w:type="dxa"/>
                  <w:noWrap w:val="0"/>
                  <w:vAlign w:val="center"/>
                </w:tcPr>
                <w:p>
                  <w:pPr>
                    <w:adjustRightInd/>
                    <w:snapToGrid/>
                    <w:spacing w:after="0"/>
                    <w:rPr>
                      <w:rFonts w:hint="eastAsia" w:ascii="宋体" w:hAnsi="宋体" w:cs="宋体"/>
                      <w:sz w:val="18"/>
                      <w:szCs w:val="18"/>
                    </w:rPr>
                  </w:pPr>
                  <w:r>
                    <w:rPr>
                      <w:rFonts w:hint="eastAsia" w:ascii="宋体" w:hAnsi="宋体" w:cs="宋体"/>
                      <w:sz w:val="18"/>
                      <w:szCs w:val="18"/>
                    </w:rPr>
                    <w:t>《固定污染源废气 硫酸雾的测定 离子色谱法》</w:t>
                  </w:r>
                  <w:r>
                    <w:rPr>
                      <w:rFonts w:ascii="宋体" w:hAnsi="宋体" w:cs="宋体"/>
                      <w:sz w:val="18"/>
                      <w:szCs w:val="18"/>
                    </w:rPr>
                    <w:t>HJ 544-2016</w:t>
                  </w:r>
                </w:p>
              </w:tc>
              <w:tc>
                <w:tcPr>
                  <w:tcW w:w="1041" w:type="dxa"/>
                  <w:noWrap w:val="0"/>
                  <w:vAlign w:val="top"/>
                </w:tcPr>
                <w:p>
                  <w:pPr>
                    <w:adjustRightInd/>
                    <w:snapToGrid/>
                    <w:spacing w:after="0"/>
                    <w:rPr>
                      <w:rFonts w:hint="eastAsia" w:ascii="宋体" w:hAnsi="宋体" w:cs="宋体"/>
                      <w:sz w:val="18"/>
                      <w:szCs w:val="18"/>
                    </w:rPr>
                  </w:pPr>
                </w:p>
              </w:tc>
              <w:tc>
                <w:tcPr>
                  <w:tcW w:w="849" w:type="dxa"/>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84" w:type="dxa"/>
                  <w:shd w:val="clear" w:color="000000" w:fill="FFFFFF"/>
                  <w:noWrap w:val="0"/>
                  <w:vAlign w:val="center"/>
                </w:tcPr>
                <w:p>
                  <w:pPr>
                    <w:adjustRightInd/>
                    <w:snapToGrid/>
                    <w:spacing w:after="0"/>
                    <w:rPr>
                      <w:rFonts w:hint="eastAsia" w:ascii="宋体" w:hAnsi="宋体" w:cs="宋体"/>
                      <w:b/>
                      <w:color w:val="333333"/>
                      <w:sz w:val="18"/>
                      <w:szCs w:val="18"/>
                    </w:rPr>
                  </w:pPr>
                </w:p>
                <w:p>
                  <w:pPr>
                    <w:adjustRightInd/>
                    <w:snapToGrid/>
                    <w:spacing w:after="0"/>
                    <w:rPr>
                      <w:rFonts w:hint="eastAsia" w:ascii="宋体" w:hAnsi="宋体" w:cs="宋体"/>
                      <w:b/>
                      <w:color w:val="333333"/>
                      <w:sz w:val="18"/>
                      <w:szCs w:val="18"/>
                    </w:rPr>
                  </w:pPr>
                  <w:r>
                    <w:rPr>
                      <w:rFonts w:hint="eastAsia" w:ascii="宋体" w:hAnsi="宋体" w:cs="宋体"/>
                      <w:b/>
                      <w:color w:val="333333"/>
                      <w:sz w:val="18"/>
                      <w:szCs w:val="18"/>
                    </w:rPr>
                    <w:t>噪声</w:t>
                  </w:r>
                </w:p>
              </w:tc>
              <w:tc>
                <w:tcPr>
                  <w:tcW w:w="1167"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厂界四周</w:t>
                  </w:r>
                </w:p>
              </w:tc>
              <w:tc>
                <w:tcPr>
                  <w:tcW w:w="1284"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昼间噪声(厂界)</w:t>
                  </w:r>
                </w:p>
              </w:tc>
              <w:tc>
                <w:tcPr>
                  <w:tcW w:w="3253"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《工业企业厂界环境噪声排放标准》(GB12348-2008)3类</w:t>
                  </w:r>
                </w:p>
              </w:tc>
              <w:tc>
                <w:tcPr>
                  <w:tcW w:w="1274" w:type="dxa"/>
                  <w:shd w:val="clear" w:color="000000" w:fill="FFFFFF"/>
                  <w:noWrap w:val="0"/>
                  <w:vAlign w:val="center"/>
                </w:tcPr>
                <w:p>
                  <w:pPr>
                    <w:pStyle w:val="16"/>
                    <w:jc w:val="center"/>
                    <w:rPr>
                      <w:rFonts w:hint="eastAsia" w:ascii="宋体" w:hAnsi="宋体" w:eastAsia="宋体" w:cs="宋体"/>
                      <w:color w:val="333333"/>
                      <w:sz w:val="18"/>
                      <w:szCs w:val="18"/>
                    </w:rPr>
                  </w:pPr>
                </w:p>
                <w:p>
                  <w:pPr>
                    <w:pStyle w:val="16"/>
                    <w:jc w:val="center"/>
                    <w:rPr>
                      <w:rFonts w:hint="eastAsia" w:ascii="宋体" w:hAnsi="宋体" w:eastAsia="宋体" w:cs="宋体"/>
                      <w:sz w:val="18"/>
                      <w:szCs w:val="18"/>
                    </w:rPr>
                  </w:pPr>
                  <w:r>
                    <w:rPr>
                      <w:rFonts w:hint="eastAsia" w:ascii="宋体" w:hAnsi="宋体" w:eastAsia="宋体" w:cs="宋体"/>
                      <w:color w:val="333333"/>
                      <w:sz w:val="18"/>
                      <w:szCs w:val="18"/>
                    </w:rPr>
                    <w:t xml:space="preserve">日间65dB(A) </w:t>
                  </w:r>
                </w:p>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夜间55db(A)</w:t>
                  </w:r>
                </w:p>
              </w:tc>
              <w:tc>
                <w:tcPr>
                  <w:tcW w:w="762"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082" w:type="dxa"/>
                  <w:noWrap w:val="0"/>
                  <w:vAlign w:val="center"/>
                </w:tcPr>
                <w:p>
                  <w:pPr>
                    <w:pStyle w:val="16"/>
                    <w:jc w:val="center"/>
                    <w:rPr>
                      <w:rFonts w:hint="eastAsia" w:ascii="宋体" w:hAnsi="宋体" w:eastAsia="宋体" w:cs="宋体"/>
                      <w:sz w:val="18"/>
                      <w:szCs w:val="18"/>
                    </w:rPr>
                  </w:pPr>
                  <w:r>
                    <w:rPr>
                      <w:rFonts w:hint="eastAsia" w:ascii="宋体" w:hAnsi="宋体" w:eastAsia="宋体" w:cs="宋体"/>
                      <w:sz w:val="18"/>
                      <w:szCs w:val="18"/>
                    </w:rPr>
                    <w:t>1次/季度</w:t>
                  </w:r>
                </w:p>
                <w:p>
                  <w:pPr>
                    <w:pStyle w:val="16"/>
                    <w:jc w:val="center"/>
                    <w:rPr>
                      <w:rFonts w:hint="eastAsia" w:ascii="宋体" w:hAnsi="宋体" w:eastAsia="宋体" w:cs="宋体"/>
                      <w:sz w:val="18"/>
                      <w:szCs w:val="18"/>
                    </w:rPr>
                  </w:pPr>
                  <w:r>
                    <w:rPr>
                      <w:rFonts w:hint="eastAsia" w:ascii="宋体" w:hAnsi="宋体" w:eastAsia="宋体" w:cs="宋体"/>
                      <w:sz w:val="18"/>
                      <w:szCs w:val="18"/>
                    </w:rPr>
                    <w:t>(昼间、夜间各一次)</w:t>
                  </w:r>
                </w:p>
                <w:p>
                  <w:pPr>
                    <w:spacing w:after="0"/>
                    <w:jc w:val="center"/>
                    <w:rPr>
                      <w:rFonts w:hint="eastAsia" w:ascii="宋体" w:hAnsi="宋体" w:cs="宋体"/>
                      <w:sz w:val="18"/>
                      <w:szCs w:val="18"/>
                    </w:rPr>
                  </w:pPr>
                </w:p>
              </w:tc>
              <w:tc>
                <w:tcPr>
                  <w:tcW w:w="3497" w:type="dxa"/>
                  <w:noWrap w:val="0"/>
                  <w:vAlign w:val="center"/>
                </w:tcPr>
                <w:p>
                  <w:pPr>
                    <w:pStyle w:val="16"/>
                    <w:ind w:left="540" w:hanging="540" w:hangingChars="300"/>
                    <w:rPr>
                      <w:rFonts w:hint="eastAsia" w:ascii="宋体" w:hAnsi="宋体" w:eastAsia="宋体" w:cs="宋体"/>
                      <w:sz w:val="18"/>
                      <w:szCs w:val="18"/>
                    </w:rPr>
                  </w:pPr>
                  <w:r>
                    <w:rPr>
                      <w:rFonts w:hint="eastAsia" w:ascii="宋体" w:hAnsi="宋体" w:eastAsia="宋体" w:cs="宋体"/>
                      <w:sz w:val="18"/>
                      <w:szCs w:val="18"/>
                    </w:rPr>
                    <w:t xml:space="preserve">《工业企业厂界环境噪声排放标准》GB12348-2008 </w:t>
                  </w:r>
                </w:p>
                <w:p>
                  <w:pPr>
                    <w:pStyle w:val="16"/>
                    <w:ind w:firstLine="900" w:firstLineChars="500"/>
                    <w:rPr>
                      <w:rFonts w:hint="eastAsia" w:ascii="宋体" w:hAnsi="宋体" w:eastAsia="宋体" w:cs="宋体"/>
                      <w:sz w:val="18"/>
                      <w:szCs w:val="18"/>
                    </w:rPr>
                  </w:pP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bl>
          <w:p>
            <w:pPr>
              <w:spacing w:line="360" w:lineRule="auto"/>
              <w:rPr>
                <w:rFonts w:hint="eastAsia" w:ascii="宋体" w:hAnsi="宋体" w:cs="宋体"/>
                <w:b/>
                <w:sz w:val="24"/>
              </w:rPr>
            </w:pPr>
            <w:r>
              <w:rPr>
                <w:rFonts w:hint="eastAsia" w:ascii="宋体" w:hAnsi="宋体" w:cs="宋体"/>
                <w:b/>
                <w:sz w:val="24"/>
              </w:rPr>
              <w:t>3.4监测点位图</w:t>
            </w:r>
          </w:p>
          <w:p>
            <w:pPr>
              <w:spacing w:line="360" w:lineRule="auto"/>
              <w:rPr>
                <w:rFonts w:hint="eastAsia" w:ascii="宋体" w:hAnsi="宋体" w:cs="宋体"/>
                <w:b/>
                <w:sz w:val="24"/>
              </w:rPr>
            </w:pPr>
          </w:p>
          <w:p>
            <w:pPr>
              <w:spacing w:line="276" w:lineRule="auto"/>
              <w:rPr>
                <w:rFonts w:hint="eastAsia" w:ascii="宋体" w:hAnsi="宋体" w:eastAsia="宋体" w:cs="宋体"/>
                <w:b/>
                <w:sz w:val="24"/>
                <w:lang w:eastAsia="zh-CN"/>
              </w:rPr>
            </w:pPr>
            <w:r>
              <w:rPr>
                <w:rFonts w:hint="eastAsia" w:ascii="宋体" w:hAnsi="宋体" w:eastAsia="宋体" w:cs="宋体"/>
                <w:b/>
                <w:sz w:val="24"/>
                <w:lang w:eastAsia="zh-CN"/>
              </w:rPr>
              <w:drawing>
                <wp:inline distT="0" distB="0" distL="114300" distR="114300">
                  <wp:extent cx="5989320" cy="5064125"/>
                  <wp:effectExtent l="0" t="0" r="11430" b="3175"/>
                  <wp:docPr id="1" name="图片 1" descr="高碑店市京泽压铸厂监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碑店市京泽压铸厂监测点位示意图"/>
                          <pic:cNvPicPr>
                            <a:picLocks noChangeAspect="1"/>
                          </pic:cNvPicPr>
                        </pic:nvPicPr>
                        <pic:blipFill>
                          <a:blip r:embed="rId10"/>
                          <a:stretch>
                            <a:fillRect/>
                          </a:stretch>
                        </pic:blipFill>
                        <pic:spPr>
                          <a:xfrm>
                            <a:off x="0" y="0"/>
                            <a:ext cx="5989320" cy="5064125"/>
                          </a:xfrm>
                          <a:prstGeom prst="rect">
                            <a:avLst/>
                          </a:prstGeom>
                          <a:noFill/>
                          <a:ln>
                            <a:noFill/>
                          </a:ln>
                        </pic:spPr>
                      </pic:pic>
                    </a:graphicData>
                  </a:graphic>
                </wp:inline>
              </w:drawing>
            </w:r>
          </w:p>
          <w:p>
            <w:pPr>
              <w:spacing w:line="276" w:lineRule="auto"/>
              <w:rPr>
                <w:rFonts w:hint="eastAsia" w:ascii="宋体" w:hAnsi="宋体" w:cs="宋体"/>
                <w:b/>
                <w:sz w:val="24"/>
              </w:rPr>
            </w:pPr>
            <w:r>
              <w:rPr>
                <w:rFonts w:hint="eastAsia" w:ascii="宋体" w:hAnsi="宋体" w:cs="宋体"/>
                <w:b/>
                <w:sz w:val="24"/>
              </w:rPr>
              <w:t>4.监测质量保证和质量控制要求</w:t>
            </w:r>
          </w:p>
          <w:p>
            <w:pPr>
              <w:spacing w:line="276" w:lineRule="auto"/>
              <w:rPr>
                <w:rFonts w:hint="eastAsia" w:ascii="宋体" w:hAnsi="宋体" w:cs="宋体"/>
                <w:spacing w:val="18"/>
                <w:sz w:val="24"/>
                <w:szCs w:val="24"/>
              </w:rPr>
            </w:pPr>
            <w:r>
              <w:rPr>
                <w:rFonts w:hint="eastAsia" w:ascii="宋体" w:hAnsi="宋体" w:cs="宋体"/>
                <w:spacing w:val="18"/>
                <w:sz w:val="24"/>
                <w:szCs w:val="24"/>
              </w:rPr>
              <w:t>4.1公司所有监测项目均委托有资质的第三方检测机构进行检测。</w:t>
            </w:r>
          </w:p>
          <w:p>
            <w:pPr>
              <w:spacing w:line="276" w:lineRule="auto"/>
              <w:rPr>
                <w:rFonts w:hint="eastAsia" w:ascii="宋体" w:hAnsi="宋体" w:cs="宋体"/>
                <w:spacing w:val="18"/>
                <w:sz w:val="24"/>
                <w:szCs w:val="24"/>
              </w:rPr>
            </w:pPr>
            <w:r>
              <w:rPr>
                <w:rFonts w:hint="eastAsia" w:ascii="宋体" w:hAnsi="宋体" w:cs="宋体"/>
                <w:spacing w:val="18"/>
                <w:sz w:val="24"/>
                <w:szCs w:val="24"/>
              </w:rPr>
              <w:t>4.2按照《排污许可证申请与核发技术规范 电镀工业》（HJ855-2017）、《排污单位自行监测技术指南  总则》（HJ819-2017）、《排污许可管理办法（试行）》（环境保护部令第48号）等要求制定年度自行监测方案。</w:t>
            </w:r>
          </w:p>
          <w:p>
            <w:pPr>
              <w:spacing w:line="276" w:lineRule="auto"/>
              <w:rPr>
                <w:rFonts w:hint="eastAsia" w:ascii="宋体" w:hAnsi="宋体" w:cs="宋体"/>
                <w:spacing w:val="18"/>
                <w:sz w:val="24"/>
                <w:szCs w:val="24"/>
              </w:rPr>
            </w:pPr>
            <w:r>
              <w:rPr>
                <w:rFonts w:hint="eastAsia" w:ascii="宋体" w:hAnsi="宋体" w:cs="宋体"/>
                <w:spacing w:val="18"/>
                <w:sz w:val="24"/>
                <w:szCs w:val="24"/>
              </w:rPr>
              <w:t>4.3定期审验第三方检测资质并存档。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4.4将监测结果与标准值（许可排放浓度限值）对照，判定是否达标排放。</w:t>
            </w:r>
          </w:p>
          <w:p>
            <w:pPr>
              <w:spacing w:line="276" w:lineRule="auto"/>
              <w:rPr>
                <w:rFonts w:hint="eastAsia" w:ascii="宋体" w:hAnsi="宋体" w:cs="宋体"/>
                <w:spacing w:val="18"/>
                <w:sz w:val="24"/>
                <w:szCs w:val="24"/>
              </w:rPr>
            </w:pPr>
            <w:r>
              <w:rPr>
                <w:rFonts w:hint="eastAsia" w:ascii="宋体" w:hAnsi="宋体" w:cs="宋体"/>
                <w:spacing w:val="18"/>
                <w:sz w:val="24"/>
                <w:szCs w:val="24"/>
              </w:rPr>
              <w:t>4.5将各种相关资料存留存档。</w:t>
            </w:r>
          </w:p>
          <w:p>
            <w:pPr>
              <w:spacing w:line="276" w:lineRule="auto"/>
              <w:rPr>
                <w:rFonts w:hint="eastAsia" w:ascii="宋体" w:hAnsi="宋体" w:cs="宋体"/>
                <w:b/>
                <w:sz w:val="24"/>
              </w:rPr>
            </w:pPr>
            <w:r>
              <w:rPr>
                <w:rFonts w:hint="eastAsia" w:ascii="宋体" w:hAnsi="宋体" w:cs="宋体"/>
                <w:b/>
                <w:sz w:val="24"/>
              </w:rPr>
              <w:t>5.监测数据记录、整理、存档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 xml:space="preserve">   企业按要求建立完整的监测档案管理制度，保存原始监测记录和监测数据报告，保存监测期间生产记录、企业委托第三方监测委托合同、承担委托任务单位的资质和单位基本情况等资料，记录形式为：电子台账+纸质台账：保存时间不低于3年。</w:t>
            </w:r>
          </w:p>
          <w:p>
            <w:pPr>
              <w:spacing w:line="360" w:lineRule="auto"/>
              <w:rPr>
                <w:rFonts w:hint="eastAsia" w:ascii="宋体" w:hAnsi="宋体" w:cs="宋体"/>
                <w:b/>
                <w:sz w:val="24"/>
              </w:rPr>
            </w:pPr>
            <w:r>
              <w:rPr>
                <w:rFonts w:hint="eastAsia" w:ascii="宋体" w:hAnsi="宋体" w:cs="宋体"/>
                <w:b/>
                <w:sz w:val="24"/>
              </w:rPr>
              <w:t>6 .信息公开</w:t>
            </w:r>
          </w:p>
          <w:p>
            <w:pPr>
              <w:spacing w:line="360" w:lineRule="auto"/>
              <w:ind w:firstLine="527" w:firstLineChars="191"/>
              <w:rPr>
                <w:rFonts w:hint="eastAsia" w:ascii="宋体" w:hAnsi="宋体" w:cs="宋体"/>
                <w:b/>
                <w:sz w:val="24"/>
              </w:rPr>
            </w:pPr>
            <w:r>
              <w:rPr>
                <w:rFonts w:hint="eastAsia" w:ascii="宋体" w:hAnsi="宋体" w:cs="宋体"/>
                <w:spacing w:val="18"/>
                <w:sz w:val="24"/>
                <w:szCs w:val="24"/>
              </w:rPr>
              <w:t>我公司自行监测信息公开内容及方式按照《企业事业单位环境信息公开办法》（环境保护部令第31 号）及《国家重点监控企业自行监测及信息公开办法（试行）》（环发〔2013〕81 号）执行。在相关网站以及其他便于公众及时、准确获得信息的方式上公开需要公开的内容，包括企业基本信息、自行监测方案、自行监测结果、未开展自行监测原因、污染源监测年度报告以及其他应当依法公开的环境信息。</w:t>
            </w:r>
          </w:p>
          <w:p>
            <w:pPr>
              <w:keepNext w:val="0"/>
              <w:keepLines w:val="0"/>
              <w:widowControl/>
              <w:numPr>
                <w:ilvl w:val="0"/>
                <w:numId w:val="0"/>
              </w:numPr>
              <w:suppressLineNumbers w:val="0"/>
              <w:spacing w:before="100" w:beforeAutospacing="1" w:after="100" w:afterAutospacing="1" w:line="500" w:lineRule="exact"/>
              <w:ind w:leftChars="225" w:right="0" w:rightChars="0" w:firstLine="420" w:firstLineChars="200"/>
              <w:jc w:val="left"/>
              <w:outlineLvl w:val="0"/>
              <w:rPr>
                <w:rFonts w:ascii="仿宋_GB2312" w:eastAsia="仿宋_GB2312"/>
                <w:szCs w:val="28"/>
              </w:rPr>
            </w:pPr>
          </w:p>
        </w:tc>
      </w:tr>
    </w:tbl>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pPr>
      <w:r>
        <w:rPr>
          <w:rFonts w:hint="eastAsia" w:eastAsia="黑体"/>
          <w:sz w:val="32"/>
          <w:szCs w:val="32"/>
        </w:rPr>
        <w:t>七、对职工进行的环境保护培训状况</w:t>
      </w:r>
    </w:p>
    <w:p>
      <w:pPr>
        <w:widowControl/>
        <w:jc w:val="left"/>
      </w:pPr>
    </w:p>
    <w:tbl>
      <w:tblPr>
        <w:tblStyle w:val="13"/>
        <w:tblW w:w="12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1315"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624" w:type="dxa"/>
            <w:noWrap w:val="0"/>
            <w:vAlign w:val="center"/>
          </w:tcPr>
          <w:p>
            <w:pPr>
              <w:keepNext w:val="0"/>
              <w:keepLines w:val="0"/>
              <w:widowControl/>
              <w:numPr>
                <w:ilvl w:val="0"/>
                <w:numId w:val="0"/>
              </w:numPr>
              <w:suppressLineNumbers w:val="0"/>
              <w:spacing w:before="100" w:beforeAutospacing="1" w:after="100" w:afterAutospacing="1" w:line="500" w:lineRule="exact"/>
              <w:ind w:right="0" w:rightChars="0" w:firstLine="1280" w:firstLineChars="400"/>
              <w:jc w:val="left"/>
              <w:outlineLvl w:val="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公司每年对员工进行培训:</w:t>
            </w:r>
          </w:p>
          <w:p>
            <w:pPr>
              <w:keepNext w:val="0"/>
              <w:keepLines w:val="0"/>
              <w:widowControl/>
              <w:numPr>
                <w:ilvl w:val="0"/>
                <w:numId w:val="0"/>
              </w:numPr>
              <w:suppressLineNumbers w:val="0"/>
              <w:spacing w:before="100" w:beforeAutospacing="1" w:after="100" w:afterAutospacing="1" w:line="500" w:lineRule="exact"/>
              <w:ind w:leftChars="225" w:right="0" w:rightChars="0" w:firstLine="640" w:firstLineChars="200"/>
              <w:jc w:val="left"/>
              <w:outlineLvl w:val="0"/>
              <w:rPr>
                <w:rFonts w:hint="eastAsia" w:ascii="仿宋" w:hAnsi="仿宋" w:eastAsia="仿宋" w:cs="仿宋"/>
                <w:sz w:val="32"/>
                <w:szCs w:val="32"/>
              </w:rPr>
            </w:pPr>
            <w:r>
              <w:rPr>
                <w:rFonts w:hint="eastAsia" w:ascii="仿宋" w:hAnsi="仿宋" w:eastAsia="仿宋" w:cs="仿宋"/>
                <w:kern w:val="0"/>
                <w:sz w:val="32"/>
                <w:szCs w:val="32"/>
                <w:lang w:val="en-US" w:eastAsia="zh-CN" w:bidi="ar"/>
              </w:rPr>
              <w:t>主要培训所负责岗位的工艺、操作、救援注意事项等内容。加强职工经常性的应急救援常识教育，使职工了解本公司应急救援预案的内容和执行程序，熟悉危险化学品的性质和应急救援演练的全过程，学习和掌握泄漏、环境污染等各级事故发生时应采取的正确方法和应急措施。讲明应急过程中的信号发布，让员工对各种应急信号都清楚明白。</w:t>
            </w:r>
          </w:p>
          <w:p>
            <w:pPr>
              <w:keepNext w:val="0"/>
              <w:keepLines w:val="0"/>
              <w:widowControl/>
              <w:suppressLineNumbers w:val="0"/>
              <w:spacing w:before="100" w:beforeAutospacing="1" w:after="100" w:afterAutospacing="1" w:line="560" w:lineRule="exact"/>
              <w:ind w:left="0" w:right="0"/>
              <w:jc w:val="center"/>
              <w:rPr>
                <w:rFonts w:eastAsia="仿宋_GB2312"/>
                <w:sz w:val="28"/>
                <w:szCs w:val="28"/>
              </w:rPr>
            </w:pPr>
          </w:p>
          <w:p>
            <w:pPr>
              <w:spacing w:line="560" w:lineRule="exact"/>
              <w:jc w:val="center"/>
              <w:rPr>
                <w:rFonts w:eastAsia="仿宋_GB2312"/>
                <w:sz w:val="28"/>
                <w:szCs w:val="28"/>
              </w:rPr>
            </w:pPr>
          </w:p>
        </w:tc>
      </w:tr>
    </w:tbl>
    <w:p>
      <w:pPr>
        <w:numPr>
          <w:ilvl w:val="0"/>
          <w:numId w:val="2"/>
        </w:numPr>
        <w:spacing w:line="560" w:lineRule="exact"/>
        <w:rPr>
          <w:rFonts w:hint="eastAsia" w:eastAsia="黑体"/>
          <w:sz w:val="32"/>
          <w:szCs w:val="32"/>
        </w:rPr>
      </w:pPr>
      <w:r>
        <w:rPr>
          <w:rFonts w:hint="eastAsia" w:eastAsia="黑体"/>
          <w:sz w:val="32"/>
          <w:szCs w:val="32"/>
        </w:rPr>
        <w:t>其他应当公开的环境信息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40"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59" w:type="dxa"/>
            <w:noWrap w:val="0"/>
            <w:vAlign w:val="center"/>
          </w:tcPr>
          <w:p>
            <w:pPr>
              <w:spacing w:line="560" w:lineRule="exact"/>
              <w:ind w:firstLine="4480" w:firstLineChars="1600"/>
              <w:jc w:val="both"/>
              <w:rPr>
                <w:rFonts w:hint="default" w:eastAsia="仿宋_GB2312"/>
                <w:sz w:val="28"/>
                <w:szCs w:val="28"/>
                <w:lang w:val="en-US" w:eastAsia="zh-CN"/>
              </w:rPr>
            </w:pPr>
            <w:r>
              <w:rPr>
                <w:rFonts w:hint="eastAsia" w:eastAsia="仿宋_GB2312"/>
                <w:sz w:val="28"/>
                <w:szCs w:val="28"/>
                <w:lang w:val="en-US" w:eastAsia="zh-CN"/>
              </w:rPr>
              <w:t>无</w:t>
            </w: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3"/>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3"/>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3"/>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ans-serif">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AF3EF"/>
    <w:multiLevelType w:val="singleLevel"/>
    <w:tmpl w:val="9E1AF3EF"/>
    <w:lvl w:ilvl="0" w:tentative="0">
      <w:start w:val="3"/>
      <w:numFmt w:val="chineseCounting"/>
      <w:suff w:val="nothing"/>
      <w:lvlText w:val="%1、"/>
      <w:lvlJc w:val="left"/>
      <w:rPr>
        <w:rFonts w:hint="eastAsia"/>
      </w:rPr>
    </w:lvl>
  </w:abstractNum>
  <w:abstractNum w:abstractNumId="1">
    <w:nsid w:val="1EC3B2AE"/>
    <w:multiLevelType w:val="singleLevel"/>
    <w:tmpl w:val="1EC3B2AE"/>
    <w:lvl w:ilvl="0" w:tentative="0">
      <w:start w:val="8"/>
      <w:numFmt w:val="chineseCounting"/>
      <w:suff w:val="nothing"/>
      <w:lvlText w:val="%1、"/>
      <w:lvlJc w:val="left"/>
      <w:rPr>
        <w:rFonts w:hint="eastAsia"/>
      </w:rPr>
    </w:lvl>
  </w:abstractNum>
  <w:abstractNum w:abstractNumId="2">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57CB1"/>
    <w:rsid w:val="005C0EE6"/>
    <w:rsid w:val="00600B25"/>
    <w:rsid w:val="007D13F3"/>
    <w:rsid w:val="00835169"/>
    <w:rsid w:val="009B3E20"/>
    <w:rsid w:val="00A7306C"/>
    <w:rsid w:val="00B605BD"/>
    <w:rsid w:val="00C20F1F"/>
    <w:rsid w:val="00EA0A0C"/>
    <w:rsid w:val="010C6BAD"/>
    <w:rsid w:val="013E1821"/>
    <w:rsid w:val="02B90D8E"/>
    <w:rsid w:val="02CC60EB"/>
    <w:rsid w:val="030B63A0"/>
    <w:rsid w:val="038B6C58"/>
    <w:rsid w:val="03C10485"/>
    <w:rsid w:val="058F5FC0"/>
    <w:rsid w:val="06357962"/>
    <w:rsid w:val="06524D89"/>
    <w:rsid w:val="06B95A33"/>
    <w:rsid w:val="06DE09DF"/>
    <w:rsid w:val="072B244C"/>
    <w:rsid w:val="07805F5A"/>
    <w:rsid w:val="07E06662"/>
    <w:rsid w:val="093C6FEA"/>
    <w:rsid w:val="0A2157CF"/>
    <w:rsid w:val="0AAA590F"/>
    <w:rsid w:val="0B8C0A02"/>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7D359A4"/>
    <w:rsid w:val="181E31A7"/>
    <w:rsid w:val="188E5A17"/>
    <w:rsid w:val="1927334D"/>
    <w:rsid w:val="1A027B1F"/>
    <w:rsid w:val="1A2129B3"/>
    <w:rsid w:val="1A944B14"/>
    <w:rsid w:val="1AE93B1B"/>
    <w:rsid w:val="1B38662E"/>
    <w:rsid w:val="1BBA192B"/>
    <w:rsid w:val="1BD05417"/>
    <w:rsid w:val="1E066E89"/>
    <w:rsid w:val="1E5408BE"/>
    <w:rsid w:val="1E561621"/>
    <w:rsid w:val="1E5E4611"/>
    <w:rsid w:val="1F6B3698"/>
    <w:rsid w:val="1FF0628A"/>
    <w:rsid w:val="2155566D"/>
    <w:rsid w:val="216D37EA"/>
    <w:rsid w:val="21DD425A"/>
    <w:rsid w:val="21F01266"/>
    <w:rsid w:val="242A1BA0"/>
    <w:rsid w:val="24520CF3"/>
    <w:rsid w:val="254D4979"/>
    <w:rsid w:val="26A27BE5"/>
    <w:rsid w:val="2848098A"/>
    <w:rsid w:val="28820B71"/>
    <w:rsid w:val="28AE550B"/>
    <w:rsid w:val="28FC1D98"/>
    <w:rsid w:val="29263201"/>
    <w:rsid w:val="2A140F46"/>
    <w:rsid w:val="2A4209CE"/>
    <w:rsid w:val="2A9B3790"/>
    <w:rsid w:val="2AAF4B3F"/>
    <w:rsid w:val="2B7E319F"/>
    <w:rsid w:val="2BBB52C1"/>
    <w:rsid w:val="2CBA495C"/>
    <w:rsid w:val="2CF517D3"/>
    <w:rsid w:val="2D193BF2"/>
    <w:rsid w:val="2D320340"/>
    <w:rsid w:val="2D5653ED"/>
    <w:rsid w:val="2F4910A0"/>
    <w:rsid w:val="2F7C53CF"/>
    <w:rsid w:val="2FE61DA5"/>
    <w:rsid w:val="3085015A"/>
    <w:rsid w:val="351A1B36"/>
    <w:rsid w:val="357C3016"/>
    <w:rsid w:val="36107D0E"/>
    <w:rsid w:val="3641657F"/>
    <w:rsid w:val="365E067E"/>
    <w:rsid w:val="37197EAF"/>
    <w:rsid w:val="384F25AE"/>
    <w:rsid w:val="39767DA7"/>
    <w:rsid w:val="398B7E3D"/>
    <w:rsid w:val="3BAF56C1"/>
    <w:rsid w:val="3BB657C0"/>
    <w:rsid w:val="3C916821"/>
    <w:rsid w:val="3C9F0324"/>
    <w:rsid w:val="3E285F9E"/>
    <w:rsid w:val="3E28611D"/>
    <w:rsid w:val="3EDF3389"/>
    <w:rsid w:val="405448EF"/>
    <w:rsid w:val="40F9220F"/>
    <w:rsid w:val="413E3847"/>
    <w:rsid w:val="4153458B"/>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096CC1"/>
    <w:rsid w:val="4D481CEC"/>
    <w:rsid w:val="4E2F73D0"/>
    <w:rsid w:val="4E5A12D9"/>
    <w:rsid w:val="4F8322EA"/>
    <w:rsid w:val="4FB524F0"/>
    <w:rsid w:val="501A68F7"/>
    <w:rsid w:val="5061150F"/>
    <w:rsid w:val="50790041"/>
    <w:rsid w:val="507E1AFC"/>
    <w:rsid w:val="50AB1C08"/>
    <w:rsid w:val="50AE519E"/>
    <w:rsid w:val="51492906"/>
    <w:rsid w:val="51BF6359"/>
    <w:rsid w:val="531A6557"/>
    <w:rsid w:val="53D045E4"/>
    <w:rsid w:val="5475552D"/>
    <w:rsid w:val="55BF6BFB"/>
    <w:rsid w:val="55F67B88"/>
    <w:rsid w:val="56030808"/>
    <w:rsid w:val="56083A20"/>
    <w:rsid w:val="57D62FF5"/>
    <w:rsid w:val="590435D7"/>
    <w:rsid w:val="590B7F02"/>
    <w:rsid w:val="594C1A6B"/>
    <w:rsid w:val="59A94644"/>
    <w:rsid w:val="59EA6123"/>
    <w:rsid w:val="5A4B23CD"/>
    <w:rsid w:val="5A4F08BF"/>
    <w:rsid w:val="5AAA3A4D"/>
    <w:rsid w:val="5CA93B9A"/>
    <w:rsid w:val="5D445F0F"/>
    <w:rsid w:val="5E250C96"/>
    <w:rsid w:val="5E2E5847"/>
    <w:rsid w:val="5E6F6ED5"/>
    <w:rsid w:val="5E9C1E27"/>
    <w:rsid w:val="5FA9130F"/>
    <w:rsid w:val="5FD923BF"/>
    <w:rsid w:val="600C5A71"/>
    <w:rsid w:val="60583943"/>
    <w:rsid w:val="60656DAB"/>
    <w:rsid w:val="60A04138"/>
    <w:rsid w:val="61BF73D7"/>
    <w:rsid w:val="623601A4"/>
    <w:rsid w:val="624D1AA5"/>
    <w:rsid w:val="62E67CBB"/>
    <w:rsid w:val="62FC213B"/>
    <w:rsid w:val="63837975"/>
    <w:rsid w:val="63CE75DC"/>
    <w:rsid w:val="64591692"/>
    <w:rsid w:val="64A76AAF"/>
    <w:rsid w:val="64B43DF7"/>
    <w:rsid w:val="64D7521C"/>
    <w:rsid w:val="65816D3A"/>
    <w:rsid w:val="65D22C57"/>
    <w:rsid w:val="661C4D4C"/>
    <w:rsid w:val="679E6DD3"/>
    <w:rsid w:val="67B13757"/>
    <w:rsid w:val="68732337"/>
    <w:rsid w:val="687365C5"/>
    <w:rsid w:val="68887BFA"/>
    <w:rsid w:val="69C51D0E"/>
    <w:rsid w:val="6A1D4C59"/>
    <w:rsid w:val="6B1E5FD0"/>
    <w:rsid w:val="6B7E2792"/>
    <w:rsid w:val="6C48521B"/>
    <w:rsid w:val="6D1B2D9B"/>
    <w:rsid w:val="6D7B2CA6"/>
    <w:rsid w:val="6DC7655A"/>
    <w:rsid w:val="6DDF674F"/>
    <w:rsid w:val="6E9D3662"/>
    <w:rsid w:val="6EC5521F"/>
    <w:rsid w:val="6F56673C"/>
    <w:rsid w:val="6FCF20D0"/>
    <w:rsid w:val="70CF32BE"/>
    <w:rsid w:val="71C9367F"/>
    <w:rsid w:val="71FB5C42"/>
    <w:rsid w:val="721660FE"/>
    <w:rsid w:val="72201501"/>
    <w:rsid w:val="73F33B39"/>
    <w:rsid w:val="748F1D9A"/>
    <w:rsid w:val="74EE34AF"/>
    <w:rsid w:val="75BC330E"/>
    <w:rsid w:val="7784677C"/>
    <w:rsid w:val="77C4324D"/>
    <w:rsid w:val="78C751FA"/>
    <w:rsid w:val="78F62FD2"/>
    <w:rsid w:val="7A0E7069"/>
    <w:rsid w:val="7A365CCF"/>
    <w:rsid w:val="7B0F5121"/>
    <w:rsid w:val="7B2C15BE"/>
    <w:rsid w:val="7B756C9A"/>
    <w:rsid w:val="7C525F1B"/>
    <w:rsid w:val="7D2716C3"/>
    <w:rsid w:val="7DB64066"/>
    <w:rsid w:val="7FC8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8" w:lineRule="auto"/>
      <w:jc w:val="center"/>
      <w:outlineLvl w:val="0"/>
    </w:pPr>
    <w:rPr>
      <w:b/>
      <w:kern w:val="44"/>
      <w:sz w:val="32"/>
    </w:rPr>
  </w:style>
  <w:style w:type="paragraph" w:styleId="4">
    <w:name w:val="heading 2"/>
    <w:basedOn w:val="1"/>
    <w:next w:val="1"/>
    <w:link w:val="22"/>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19"/>
    <w:qFormat/>
    <w:uiPriority w:val="99"/>
    <w:pPr>
      <w:keepNext/>
      <w:keepLines/>
      <w:spacing w:before="260" w:after="260" w:line="416" w:lineRule="auto"/>
      <w:outlineLvl w:val="2"/>
    </w:pPr>
    <w:rPr>
      <w:sz w:val="28"/>
    </w:rPr>
  </w:style>
  <w:style w:type="paragraph" w:styleId="6">
    <w:name w:val="heading 4"/>
    <w:basedOn w:val="1"/>
    <w:next w:val="1"/>
    <w:link w:val="20"/>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c 2"/>
    <w:basedOn w:val="1"/>
    <w:next w:val="1"/>
    <w:locked/>
    <w:uiPriority w:val="39"/>
    <w:pPr>
      <w:ind w:left="420" w:leftChars="200"/>
    </w:pPr>
  </w:style>
  <w:style w:type="paragraph" w:styleId="7">
    <w:name w:val="Body Text"/>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sz w:val="24"/>
      <w:szCs w:val="24"/>
      <w:lang w:val="zh-CN" w:bidi="zh-CN"/>
    </w:rPr>
  </w:style>
  <w:style w:type="paragraph" w:styleId="8">
    <w:name w:val="Plain Text"/>
    <w:basedOn w:val="1"/>
    <w:link w:val="24"/>
    <w:qFormat/>
    <w:uiPriority w:val="99"/>
    <w:pPr>
      <w:adjustRightInd w:val="0"/>
      <w:spacing w:line="312" w:lineRule="atLeast"/>
      <w:textAlignment w:val="baseline"/>
    </w:pPr>
    <w:rPr>
      <w:rFonts w:ascii="宋体" w:hAnsi="Courier New"/>
      <w:kern w:val="0"/>
      <w:szCs w:val="20"/>
    </w:rPr>
  </w:style>
  <w:style w:type="paragraph" w:styleId="9">
    <w:name w:val="Balloon Text"/>
    <w:basedOn w:val="1"/>
    <w:link w:val="18"/>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100" w:beforeAutospacing="1" w:after="100" w:afterAutospacing="1"/>
      <w:jc w:val="left"/>
    </w:pPr>
    <w:rPr>
      <w:rFonts w:ascii="宋体" w:hAnsi="宋体"/>
      <w:kern w:val="0"/>
      <w:sz w:val="24"/>
    </w:rPr>
  </w:style>
  <w:style w:type="character" w:styleId="15">
    <w:name w:val="Hyperlink"/>
    <w:uiPriority w:val="99"/>
    <w:rPr>
      <w:color w:val="0000FF"/>
      <w:u w:val="single"/>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Header Char"/>
    <w:basedOn w:val="14"/>
    <w:link w:val="11"/>
    <w:qFormat/>
    <w:locked/>
    <w:uiPriority w:val="99"/>
    <w:rPr>
      <w:rFonts w:ascii="Calibri" w:hAnsi="Calibri" w:eastAsia="宋体" w:cs="Times New Roman"/>
      <w:sz w:val="18"/>
      <w:szCs w:val="18"/>
    </w:rPr>
  </w:style>
  <w:style w:type="character" w:customStyle="1" w:styleId="18">
    <w:name w:val="Balloon Text Char"/>
    <w:basedOn w:val="14"/>
    <w:link w:val="9"/>
    <w:semiHidden/>
    <w:qFormat/>
    <w:locked/>
    <w:uiPriority w:val="99"/>
    <w:rPr>
      <w:rFonts w:ascii="Calibri" w:hAnsi="Calibri" w:eastAsia="宋体" w:cs="Times New Roman"/>
      <w:kern w:val="2"/>
      <w:sz w:val="18"/>
      <w:szCs w:val="18"/>
    </w:rPr>
  </w:style>
  <w:style w:type="character" w:customStyle="1" w:styleId="19">
    <w:name w:val="Heading 3 Char"/>
    <w:basedOn w:val="14"/>
    <w:link w:val="5"/>
    <w:semiHidden/>
    <w:qFormat/>
    <w:uiPriority w:val="9"/>
    <w:rPr>
      <w:rFonts w:ascii="Calibri" w:hAnsi="Calibri"/>
      <w:b/>
      <w:bCs/>
      <w:sz w:val="32"/>
      <w:szCs w:val="32"/>
    </w:rPr>
  </w:style>
  <w:style w:type="character" w:customStyle="1" w:styleId="20">
    <w:name w:val="Heading 4 Char"/>
    <w:basedOn w:val="14"/>
    <w:link w:val="6"/>
    <w:semiHidden/>
    <w:qFormat/>
    <w:uiPriority w:val="9"/>
    <w:rPr>
      <w:rFonts w:ascii="Cambria" w:hAnsi="Cambria" w:eastAsia="宋体" w:cs="Times New Roman"/>
      <w:b/>
      <w:bCs/>
      <w:sz w:val="28"/>
      <w:szCs w:val="28"/>
    </w:rPr>
  </w:style>
  <w:style w:type="character" w:customStyle="1" w:styleId="21">
    <w:name w:val="Heading 1 Char"/>
    <w:basedOn w:val="14"/>
    <w:link w:val="3"/>
    <w:qFormat/>
    <w:uiPriority w:val="9"/>
    <w:rPr>
      <w:rFonts w:ascii="Calibri" w:hAnsi="Calibri"/>
      <w:b/>
      <w:bCs/>
      <w:kern w:val="44"/>
      <w:sz w:val="44"/>
      <w:szCs w:val="44"/>
    </w:rPr>
  </w:style>
  <w:style w:type="character" w:customStyle="1" w:styleId="22">
    <w:name w:val="Heading 2 Char"/>
    <w:basedOn w:val="14"/>
    <w:link w:val="4"/>
    <w:semiHidden/>
    <w:qFormat/>
    <w:uiPriority w:val="9"/>
    <w:rPr>
      <w:rFonts w:ascii="Cambria" w:hAnsi="Cambria" w:eastAsia="宋体" w:cs="Times New Roman"/>
      <w:b/>
      <w:bCs/>
      <w:sz w:val="32"/>
      <w:szCs w:val="32"/>
    </w:rPr>
  </w:style>
  <w:style w:type="character" w:customStyle="1" w:styleId="23">
    <w:name w:val="Footer Char"/>
    <w:basedOn w:val="14"/>
    <w:link w:val="10"/>
    <w:qFormat/>
    <w:locked/>
    <w:uiPriority w:val="99"/>
    <w:rPr>
      <w:rFonts w:ascii="Calibri" w:hAnsi="Calibri" w:eastAsia="宋体" w:cs="Times New Roman"/>
      <w:sz w:val="18"/>
      <w:szCs w:val="18"/>
    </w:rPr>
  </w:style>
  <w:style w:type="character" w:customStyle="1" w:styleId="24">
    <w:name w:val="Plain Text Char"/>
    <w:basedOn w:val="14"/>
    <w:link w:val="8"/>
    <w:semiHidden/>
    <w:qFormat/>
    <w:uiPriority w:val="99"/>
    <w:rPr>
      <w:rFonts w:ascii="宋体" w:hAnsi="Courier New" w:cs="Courier New"/>
      <w:szCs w:val="21"/>
    </w:rPr>
  </w:style>
  <w:style w:type="paragraph" w:customStyle="1" w:styleId="25">
    <w:name w:val="报告正文"/>
    <w:basedOn w:val="1"/>
    <w:qFormat/>
    <w:uiPriority w:val="99"/>
    <w:pPr>
      <w:spacing w:line="480" w:lineRule="exact"/>
      <w:ind w:firstLine="200" w:firstLineChars="200"/>
    </w:pPr>
    <w:rPr>
      <w:sz w:val="24"/>
    </w:rPr>
  </w:style>
  <w:style w:type="paragraph" w:customStyle="1" w:styleId="26">
    <w:name w:val="2级标题"/>
    <w:basedOn w:val="1"/>
    <w:qFormat/>
    <w:uiPriority w:val="99"/>
    <w:pPr>
      <w:spacing w:before="60" w:line="460" w:lineRule="exact"/>
      <w:outlineLvl w:val="1"/>
    </w:pPr>
    <w:rPr>
      <w:b/>
      <w:sz w:val="28"/>
    </w:rPr>
  </w:style>
  <w:style w:type="paragraph" w:customStyle="1" w:styleId="27">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28">
    <w:name w:val="正文01"/>
    <w:basedOn w:val="1"/>
    <w:qFormat/>
    <w:uiPriority w:val="99"/>
    <w:pPr>
      <w:spacing w:before="60" w:line="460" w:lineRule="exact"/>
      <w:ind w:firstLine="200" w:firstLineChars="200"/>
    </w:pPr>
    <w:rPr>
      <w:sz w:val="24"/>
    </w:rPr>
  </w:style>
  <w:style w:type="paragraph" w:customStyle="1" w:styleId="29">
    <w:name w:val="0"/>
    <w:basedOn w:val="1"/>
    <w:qFormat/>
    <w:uiPriority w:val="99"/>
    <w:pPr>
      <w:widowControl/>
      <w:snapToGrid w:val="0"/>
      <w:jc w:val="left"/>
    </w:pPr>
    <w:rPr>
      <w:kern w:val="0"/>
      <w:sz w:val="20"/>
      <w:szCs w:val="20"/>
    </w:rPr>
  </w:style>
  <w:style w:type="paragraph" w:customStyle="1" w:styleId="30">
    <w:name w:val="三级标题"/>
    <w:basedOn w:val="28"/>
    <w:qFormat/>
    <w:uiPriority w:val="99"/>
    <w:pPr>
      <w:spacing w:before="300"/>
      <w:ind w:firstLine="0" w:firstLineChars="0"/>
      <w:outlineLvl w:val="2"/>
    </w:pPr>
    <w:rPr>
      <w:b/>
    </w:rPr>
  </w:style>
  <w:style w:type="paragraph" w:customStyle="1" w:styleId="31">
    <w:name w:val="样式 正文001 + Times New Roman"/>
    <w:basedOn w:val="32"/>
    <w:qFormat/>
    <w:uiPriority w:val="99"/>
    <w:pPr>
      <w:ind w:firstLine="482" w:firstLineChars="0"/>
    </w:pPr>
    <w:rPr>
      <w:rFonts w:ascii="Calibri" w:hAnsi="Calibri"/>
      <w:szCs w:val="22"/>
    </w:rPr>
  </w:style>
  <w:style w:type="paragraph" w:customStyle="1" w:styleId="32">
    <w:name w:val="正文001"/>
    <w:basedOn w:val="1"/>
    <w:qFormat/>
    <w:uiPriority w:val="99"/>
    <w:pPr>
      <w:spacing w:before="60" w:line="460" w:lineRule="exact"/>
      <w:ind w:firstLine="200" w:firstLineChars="200"/>
    </w:pPr>
    <w:rPr>
      <w:rFonts w:ascii="Arial" w:hAnsi="Arial"/>
      <w:sz w:val="24"/>
      <w:szCs w:val="20"/>
    </w:rPr>
  </w:style>
  <w:style w:type="paragraph" w:customStyle="1" w:styleId="33">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4">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5">
    <w:name w:val="1级标题"/>
    <w:basedOn w:val="1"/>
    <w:qFormat/>
    <w:uiPriority w:val="99"/>
    <w:pPr>
      <w:spacing w:before="60" w:line="460" w:lineRule="exact"/>
      <w:outlineLvl w:val="0"/>
    </w:pPr>
    <w:rPr>
      <w:b/>
      <w:sz w:val="32"/>
    </w:rPr>
  </w:style>
  <w:style w:type="paragraph" w:customStyle="1" w:styleId="36">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37">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3级标题"/>
    <w:basedOn w:val="1"/>
    <w:qFormat/>
    <w:uiPriority w:val="99"/>
    <w:pPr>
      <w:spacing w:before="300" w:line="460" w:lineRule="exact"/>
      <w:outlineLvl w:val="2"/>
    </w:pPr>
    <w:rPr>
      <w:rFonts w:ascii="Arial" w:hAnsi="Arial"/>
      <w:b/>
      <w:sz w:val="24"/>
    </w:rPr>
  </w:style>
  <w:style w:type="paragraph" w:customStyle="1" w:styleId="39">
    <w:name w:val="reader-word-layer reader-word-s5-9"/>
    <w:basedOn w:val="1"/>
    <w:qFormat/>
    <w:uiPriority w:val="99"/>
    <w:pPr>
      <w:widowControl/>
      <w:spacing w:beforeAutospacing="1" w:afterAutospacing="1"/>
      <w:jc w:val="left"/>
    </w:pPr>
    <w:rPr>
      <w:rFonts w:ascii="宋体" w:hAnsi="宋体" w:cs="宋体"/>
      <w:kern w:val="0"/>
      <w:sz w:val="24"/>
    </w:rPr>
  </w:style>
  <w:style w:type="paragraph" w:styleId="40">
    <w:name w:val="List Paragraph"/>
    <w:basedOn w:val="1"/>
    <w:qFormat/>
    <w:uiPriority w:val="34"/>
    <w:pPr>
      <w:ind w:firstLine="420" w:firstLineChars="200"/>
    </w:pPr>
  </w:style>
  <w:style w:type="character" w:customStyle="1" w:styleId="41">
    <w:name w:val="正文文本 + MS Mincho"/>
    <w:unhideWhenUsed/>
    <w:qFormat/>
    <w:uiPriority w:val="99"/>
    <w:rPr>
      <w:rFonts w:hint="default" w:ascii="MS Mincho" w:hAnsi="MS Mincho" w:eastAsia="MS Mincho"/>
      <w:spacing w:val="0"/>
      <w:sz w:val="21"/>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50</Pages>
  <Words>3882</Words>
  <Characters>22132</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2015-12-24T03:11:00Z</cp:lastPrinted>
  <dcterms:modified xsi:type="dcterms:W3CDTF">2021-09-01T00:59:22Z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0C35D67D9E3C46D8AE04A250F2DF0361</vt:lpwstr>
  </property>
</Properties>
</file>