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620" w:firstLineChars="450"/>
        <w:rPr>
          <w:rFonts w:eastAsia="方正小标宋简体"/>
          <w:sz w:val="44"/>
          <w:szCs w:val="44"/>
        </w:rPr>
      </w:pPr>
      <w:r>
        <w:rPr>
          <w:rFonts w:eastAsia="方正小标宋简体"/>
          <w:sz w:val="36"/>
          <w:szCs w:val="36"/>
        </w:rPr>
        <w:t xml:space="preserve">  </w:t>
      </w:r>
      <w:r>
        <w:rPr>
          <w:rFonts w:hint="eastAsia" w:eastAsia="方正小标宋简体"/>
          <w:sz w:val="36"/>
          <w:szCs w:val="36"/>
        </w:rPr>
        <w:t>企业事业单位环境信息公开表</w:t>
      </w:r>
    </w:p>
    <w:p>
      <w:pPr>
        <w:spacing w:line="560" w:lineRule="exact"/>
        <w:ind w:firstLine="320" w:firstLineChars="100"/>
        <w:jc w:val="left"/>
        <w:rPr>
          <w:rFonts w:eastAsia="黑体"/>
          <w:sz w:val="32"/>
          <w:szCs w:val="32"/>
        </w:rPr>
      </w:pPr>
      <w:r>
        <w:rPr>
          <w:rFonts w:hint="eastAsia" w:eastAsia="黑体"/>
          <w:sz w:val="32"/>
          <w:szCs w:val="32"/>
        </w:rPr>
        <w:t>一、基础信息</w:t>
      </w:r>
    </w:p>
    <w:tbl>
      <w:tblPr>
        <w:tblStyle w:val="13"/>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552"/>
        <w:gridCol w:w="19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noWrap w:val="0"/>
            <w:vAlign w:val="top"/>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单位名称</w:t>
            </w:r>
          </w:p>
        </w:tc>
        <w:tc>
          <w:tcPr>
            <w:tcW w:w="7371" w:type="dxa"/>
            <w:gridSpan w:val="3"/>
            <w:noWrap w:val="0"/>
            <w:vAlign w:val="top"/>
          </w:tcPr>
          <w:p>
            <w:pPr>
              <w:spacing w:line="62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高碑店市白沟京泽压铸厂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noWrap w:val="0"/>
            <w:vAlign w:val="top"/>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组织机构代码</w:t>
            </w:r>
          </w:p>
        </w:tc>
        <w:tc>
          <w:tcPr>
            <w:tcW w:w="2552" w:type="dxa"/>
            <w:noWrap w:val="0"/>
            <w:vAlign w:val="top"/>
          </w:tcPr>
          <w:p>
            <w:pPr>
              <w:spacing w:line="62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91130611774445505k</w:t>
            </w:r>
          </w:p>
        </w:tc>
        <w:tc>
          <w:tcPr>
            <w:tcW w:w="1984" w:type="dxa"/>
            <w:noWrap w:val="0"/>
            <w:vAlign w:val="top"/>
          </w:tcPr>
          <w:p>
            <w:pPr>
              <w:spacing w:line="62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法定代表人</w:t>
            </w:r>
          </w:p>
        </w:tc>
        <w:tc>
          <w:tcPr>
            <w:tcW w:w="2835" w:type="dxa"/>
            <w:noWrap w:val="0"/>
            <w:vAlign w:val="top"/>
          </w:tcPr>
          <w:p>
            <w:pPr>
              <w:spacing w:line="620" w:lineRule="exact"/>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马艳茹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noWrap w:val="0"/>
            <w:vAlign w:val="top"/>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生产地址</w:t>
            </w:r>
          </w:p>
        </w:tc>
        <w:tc>
          <w:tcPr>
            <w:tcW w:w="2552" w:type="dxa"/>
            <w:noWrap w:val="0"/>
            <w:vAlign w:val="center"/>
          </w:tcPr>
          <w:p>
            <w:pPr>
              <w:spacing w:line="62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白沟镇工业园区一期枫杨路9号</w:t>
            </w:r>
          </w:p>
        </w:tc>
        <w:tc>
          <w:tcPr>
            <w:tcW w:w="1984" w:type="dxa"/>
            <w:noWrap w:val="0"/>
            <w:vAlign w:val="top"/>
          </w:tcPr>
          <w:p>
            <w:pPr>
              <w:spacing w:line="62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生产周期</w:t>
            </w:r>
          </w:p>
        </w:tc>
        <w:tc>
          <w:tcPr>
            <w:tcW w:w="2835" w:type="dxa"/>
            <w:noWrap w:val="0"/>
            <w:vAlign w:val="center"/>
          </w:tcPr>
          <w:p>
            <w:pPr>
              <w:spacing w:line="620" w:lineRule="exact"/>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noWrap w:val="0"/>
            <w:vAlign w:val="top"/>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所属行业</w:t>
            </w:r>
          </w:p>
        </w:tc>
        <w:tc>
          <w:tcPr>
            <w:tcW w:w="2552" w:type="dxa"/>
            <w:noWrap w:val="0"/>
            <w:vAlign w:val="center"/>
          </w:tcPr>
          <w:p>
            <w:pPr>
              <w:spacing w:line="62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金属表面处理及热处理加工</w:t>
            </w:r>
          </w:p>
        </w:tc>
        <w:tc>
          <w:tcPr>
            <w:tcW w:w="1984" w:type="dxa"/>
            <w:noWrap w:val="0"/>
            <w:vAlign w:val="top"/>
          </w:tcPr>
          <w:p>
            <w:pPr>
              <w:spacing w:line="62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联系电话</w:t>
            </w:r>
          </w:p>
        </w:tc>
        <w:tc>
          <w:tcPr>
            <w:tcW w:w="2835" w:type="dxa"/>
            <w:noWrap w:val="0"/>
            <w:vAlign w:val="center"/>
          </w:tcPr>
          <w:p>
            <w:pPr>
              <w:spacing w:line="62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13582995885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7" w:hRule="atLeast"/>
        </w:trPr>
        <w:tc>
          <w:tcPr>
            <w:tcW w:w="2269" w:type="dxa"/>
            <w:noWrap w:val="0"/>
            <w:vAlign w:val="center"/>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生产经营和管理服务的主要内容</w:t>
            </w:r>
          </w:p>
        </w:tc>
        <w:tc>
          <w:tcPr>
            <w:tcW w:w="7371" w:type="dxa"/>
            <w:gridSpan w:val="3"/>
            <w:noWrap w:val="0"/>
            <w:vAlign w:val="top"/>
          </w:tcPr>
          <w:p>
            <w:pPr>
              <w:spacing w:line="620" w:lineRule="exact"/>
              <w:jc w:val="center"/>
              <w:rPr>
                <w:rFonts w:hint="eastAsia" w:ascii="Times New Roman" w:hAnsi="Times New Roman" w:eastAsia="仿宋_GB2312"/>
                <w:sz w:val="24"/>
                <w:szCs w:val="24"/>
                <w:lang w:val="en-US" w:eastAsia="zh-CN"/>
              </w:rPr>
            </w:pPr>
          </w:p>
          <w:p>
            <w:pPr>
              <w:spacing w:line="620" w:lineRule="exact"/>
              <w:jc w:val="center"/>
              <w:rPr>
                <w:rFonts w:hint="eastAsia" w:ascii="Times New Roman" w:hAnsi="Times New Roman" w:eastAsia="仿宋_GB2312"/>
                <w:sz w:val="24"/>
                <w:szCs w:val="24"/>
                <w:lang w:val="en-US" w:eastAsia="zh-CN"/>
              </w:rPr>
            </w:pPr>
          </w:p>
          <w:p>
            <w:pPr>
              <w:spacing w:line="62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五金饰件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noWrap w:val="0"/>
            <w:vAlign w:val="top"/>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主要产品</w:t>
            </w:r>
          </w:p>
        </w:tc>
        <w:tc>
          <w:tcPr>
            <w:tcW w:w="4819" w:type="dxa"/>
            <w:gridSpan w:val="2"/>
            <w:noWrap w:val="0"/>
            <w:vAlign w:val="top"/>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生产规模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noWrap w:val="0"/>
            <w:vAlign w:val="center"/>
          </w:tcPr>
          <w:p>
            <w:pPr>
              <w:widowControl/>
              <w:spacing w:before="100" w:beforeAutospacing="1" w:after="100" w:afterAutospacing="1"/>
              <w:jc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五金饰件</w:t>
            </w:r>
          </w:p>
        </w:tc>
        <w:tc>
          <w:tcPr>
            <w:tcW w:w="4819" w:type="dxa"/>
            <w:gridSpan w:val="2"/>
            <w:noWrap w:val="0"/>
            <w:vAlign w:val="center"/>
          </w:tcPr>
          <w:p>
            <w:pPr>
              <w:widowControl/>
              <w:spacing w:before="100" w:beforeAutospacing="1" w:after="100" w:afterAutospacing="1"/>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800t/n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noWrap w:val="0"/>
            <w:vAlign w:val="center"/>
          </w:tcPr>
          <w:p>
            <w:pPr>
              <w:widowControl/>
              <w:spacing w:before="100" w:beforeAutospacing="1" w:after="100" w:afterAutospacing="1"/>
              <w:jc w:val="center"/>
              <w:rPr>
                <w:rFonts w:ascii="Times New Roman" w:hAnsi="Times New Roman" w:eastAsia="仿宋_GB2312"/>
                <w:sz w:val="24"/>
                <w:szCs w:val="24"/>
              </w:rPr>
            </w:pPr>
          </w:p>
        </w:tc>
        <w:tc>
          <w:tcPr>
            <w:tcW w:w="4819" w:type="dxa"/>
            <w:gridSpan w:val="2"/>
            <w:noWrap w:val="0"/>
            <w:vAlign w:val="center"/>
          </w:tcPr>
          <w:p>
            <w:pPr>
              <w:widowControl/>
              <w:spacing w:before="100" w:beforeAutospacing="1" w:after="100" w:afterAutospacing="1"/>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noWrap w:val="0"/>
            <w:vAlign w:val="top"/>
          </w:tcPr>
          <w:p>
            <w:pPr>
              <w:spacing w:line="620" w:lineRule="exact"/>
              <w:jc w:val="center"/>
              <w:rPr>
                <w:rFonts w:ascii="Times New Roman" w:hAnsi="Times New Roman" w:eastAsia="仿宋_GB2312"/>
                <w:sz w:val="24"/>
                <w:szCs w:val="24"/>
              </w:rPr>
            </w:pPr>
          </w:p>
        </w:tc>
        <w:tc>
          <w:tcPr>
            <w:tcW w:w="4819" w:type="dxa"/>
            <w:gridSpan w:val="2"/>
            <w:noWrap w:val="0"/>
            <w:vAlign w:val="top"/>
          </w:tcPr>
          <w:p>
            <w:pPr>
              <w:spacing w:line="62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noWrap w:val="0"/>
            <w:vAlign w:val="top"/>
          </w:tcPr>
          <w:p>
            <w:pPr>
              <w:spacing w:line="620" w:lineRule="exact"/>
              <w:jc w:val="center"/>
              <w:rPr>
                <w:rFonts w:ascii="Times New Roman" w:hAnsi="Times New Roman" w:eastAsia="仿宋_GB2312"/>
                <w:sz w:val="24"/>
                <w:szCs w:val="24"/>
              </w:rPr>
            </w:pPr>
          </w:p>
        </w:tc>
        <w:tc>
          <w:tcPr>
            <w:tcW w:w="4819" w:type="dxa"/>
            <w:gridSpan w:val="2"/>
            <w:noWrap w:val="0"/>
            <w:vAlign w:val="top"/>
          </w:tcPr>
          <w:p>
            <w:pPr>
              <w:spacing w:line="62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noWrap w:val="0"/>
            <w:vAlign w:val="top"/>
          </w:tcPr>
          <w:p>
            <w:pPr>
              <w:spacing w:line="620" w:lineRule="exact"/>
              <w:jc w:val="center"/>
              <w:rPr>
                <w:rFonts w:ascii="Times New Roman" w:hAnsi="Times New Roman" w:eastAsia="仿宋_GB2312"/>
                <w:sz w:val="24"/>
                <w:szCs w:val="24"/>
              </w:rPr>
            </w:pPr>
            <w:r>
              <w:rPr>
                <w:rFonts w:ascii="Times New Roman" w:hAnsi="Times New Roman" w:eastAsia="仿宋_GB2312"/>
                <w:sz w:val="24"/>
                <w:szCs w:val="24"/>
              </w:rPr>
              <w:t>……</w:t>
            </w:r>
          </w:p>
        </w:tc>
        <w:tc>
          <w:tcPr>
            <w:tcW w:w="4819" w:type="dxa"/>
            <w:gridSpan w:val="2"/>
            <w:noWrap w:val="0"/>
            <w:vAlign w:val="top"/>
          </w:tcPr>
          <w:p>
            <w:pPr>
              <w:spacing w:line="620" w:lineRule="exact"/>
              <w:jc w:val="center"/>
              <w:rPr>
                <w:rFonts w:ascii="Times New Roman" w:hAnsi="Times New Roman" w:eastAsia="仿宋_GB2312"/>
                <w:sz w:val="24"/>
                <w:szCs w:val="24"/>
              </w:rPr>
            </w:pPr>
          </w:p>
        </w:tc>
      </w:tr>
    </w:tbl>
    <w:p>
      <w:pPr>
        <w:widowControl/>
        <w:jc w:val="left"/>
        <w:rPr>
          <w:rFonts w:eastAsia="黑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1985" w:left="1588" w:header="851" w:footer="992" w:gutter="0"/>
          <w:cols w:space="720" w:num="1"/>
          <w:docGrid w:type="lines" w:linePitch="312" w:charSpace="0"/>
        </w:sectPr>
      </w:pPr>
    </w:p>
    <w:p>
      <w:pPr>
        <w:spacing w:line="560" w:lineRule="exact"/>
        <w:ind w:firstLine="320" w:firstLineChars="100"/>
        <w:jc w:val="left"/>
        <w:rPr>
          <w:rFonts w:eastAsia="黑体"/>
          <w:sz w:val="32"/>
          <w:szCs w:val="32"/>
        </w:rPr>
      </w:pPr>
      <w:r>
        <w:rPr>
          <w:rFonts w:hint="eastAsia" w:eastAsia="黑体"/>
          <w:sz w:val="32"/>
          <w:szCs w:val="32"/>
        </w:rPr>
        <w:t>二、排污信息</w:t>
      </w:r>
    </w:p>
    <w:tbl>
      <w:tblPr>
        <w:tblStyle w:val="13"/>
        <w:tblW w:w="13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11"/>
        <w:gridCol w:w="721"/>
        <w:gridCol w:w="345"/>
        <w:gridCol w:w="21"/>
        <w:gridCol w:w="801"/>
        <w:gridCol w:w="28"/>
        <w:gridCol w:w="684"/>
        <w:gridCol w:w="49"/>
        <w:gridCol w:w="528"/>
        <w:gridCol w:w="39"/>
        <w:gridCol w:w="899"/>
        <w:gridCol w:w="45"/>
        <w:gridCol w:w="373"/>
        <w:gridCol w:w="37"/>
        <w:gridCol w:w="324"/>
        <w:gridCol w:w="50"/>
        <w:gridCol w:w="654"/>
        <w:gridCol w:w="152"/>
        <w:gridCol w:w="786"/>
        <w:gridCol w:w="61"/>
        <w:gridCol w:w="238"/>
        <w:gridCol w:w="6"/>
        <w:gridCol w:w="750"/>
        <w:gridCol w:w="68"/>
        <w:gridCol w:w="889"/>
        <w:gridCol w:w="1047"/>
        <w:gridCol w:w="34"/>
        <w:gridCol w:w="615"/>
        <w:gridCol w:w="103"/>
        <w:gridCol w:w="28"/>
        <w:gridCol w:w="744"/>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309" w:type="dxa"/>
            <w:gridSpan w:val="33"/>
            <w:noWrap w:val="0"/>
            <w:vAlign w:val="top"/>
          </w:tcPr>
          <w:p>
            <w:pPr>
              <w:spacing w:line="500" w:lineRule="exact"/>
              <w:jc w:val="center"/>
              <w:rPr>
                <w:rFonts w:eastAsia="仿宋_GB2312"/>
                <w:b/>
                <w:sz w:val="28"/>
                <w:szCs w:val="28"/>
              </w:rPr>
            </w:pPr>
            <w:r>
              <w:rPr>
                <w:rFonts w:hint="eastAsia" w:eastAsia="仿宋_GB2312"/>
                <w:b/>
                <w:sz w:val="28"/>
                <w:szCs w:val="28"/>
              </w:rPr>
              <w:t>水污染物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009" w:type="dxa"/>
            <w:gridSpan w:val="17"/>
            <w:noWrap w:val="0"/>
            <w:vAlign w:val="center"/>
          </w:tcPr>
          <w:p>
            <w:pPr>
              <w:spacing w:line="500" w:lineRule="exact"/>
              <w:jc w:val="center"/>
              <w:rPr>
                <w:rFonts w:eastAsia="仿宋_GB2312"/>
                <w:sz w:val="24"/>
              </w:rPr>
            </w:pPr>
            <w:r>
              <w:rPr>
                <w:rFonts w:hint="eastAsia" w:eastAsia="仿宋_GB2312"/>
                <w:sz w:val="24"/>
              </w:rPr>
              <w:t>排放口数量</w:t>
            </w:r>
          </w:p>
        </w:tc>
        <w:tc>
          <w:tcPr>
            <w:tcW w:w="7300" w:type="dxa"/>
            <w:gridSpan w:val="16"/>
            <w:noWrap w:val="0"/>
            <w:vAlign w:val="top"/>
          </w:tcPr>
          <w:p>
            <w:pPr>
              <w:spacing w:line="500" w:lineRule="exact"/>
              <w:jc w:val="cente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65" w:type="dxa"/>
            <w:gridSpan w:val="2"/>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排放口编号或名称</w:t>
            </w:r>
          </w:p>
        </w:tc>
        <w:tc>
          <w:tcPr>
            <w:tcW w:w="1087" w:type="dxa"/>
            <w:gridSpan w:val="3"/>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排放口位置</w:t>
            </w:r>
          </w:p>
        </w:tc>
        <w:tc>
          <w:tcPr>
            <w:tcW w:w="829" w:type="dxa"/>
            <w:gridSpan w:val="2"/>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排放方式</w:t>
            </w:r>
          </w:p>
        </w:tc>
        <w:tc>
          <w:tcPr>
            <w:tcW w:w="1300" w:type="dxa"/>
            <w:gridSpan w:val="4"/>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主要</w:t>
            </w:r>
            <w:r>
              <w:rPr>
                <w:rFonts w:eastAsia="仿宋_GB2312"/>
                <w:color w:val="000000"/>
                <w:sz w:val="24"/>
              </w:rPr>
              <w:t>/</w:t>
            </w:r>
            <w:r>
              <w:rPr>
                <w:rFonts w:hint="eastAsia" w:eastAsia="仿宋_GB2312"/>
                <w:color w:val="000000"/>
                <w:sz w:val="24"/>
              </w:rPr>
              <w:t>特征污染物名称</w:t>
            </w:r>
          </w:p>
        </w:tc>
        <w:tc>
          <w:tcPr>
            <w:tcW w:w="944" w:type="dxa"/>
            <w:gridSpan w:val="2"/>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排放浓度（</w:t>
            </w:r>
            <w:r>
              <w:rPr>
                <w:rFonts w:eastAsia="仿宋_GB2312"/>
                <w:color w:val="000000"/>
                <w:sz w:val="24"/>
              </w:rPr>
              <w:t xml:space="preserve">mg/L </w:t>
            </w:r>
            <w:r>
              <w:rPr>
                <w:rFonts w:hint="eastAsia" w:eastAsia="仿宋_GB2312"/>
                <w:color w:val="000000"/>
                <w:sz w:val="24"/>
              </w:rPr>
              <w:t>）</w:t>
            </w:r>
          </w:p>
        </w:tc>
        <w:tc>
          <w:tcPr>
            <w:tcW w:w="784" w:type="dxa"/>
            <w:gridSpan w:val="4"/>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监测</w:t>
            </w:r>
          </w:p>
          <w:p>
            <w:pPr>
              <w:spacing w:line="500" w:lineRule="exact"/>
              <w:ind w:left="-105" w:leftChars="-50" w:right="-105" w:rightChars="-50"/>
              <w:jc w:val="center"/>
              <w:rPr>
                <w:rFonts w:eastAsia="仿宋_GB2312"/>
                <w:color w:val="000000"/>
                <w:sz w:val="24"/>
              </w:rPr>
            </w:pPr>
            <w:r>
              <w:rPr>
                <w:rFonts w:hint="eastAsia" w:eastAsia="仿宋_GB2312"/>
                <w:color w:val="000000"/>
                <w:sz w:val="24"/>
              </w:rPr>
              <w:t>方式</w:t>
            </w:r>
          </w:p>
        </w:tc>
        <w:tc>
          <w:tcPr>
            <w:tcW w:w="654" w:type="dxa"/>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监测</w:t>
            </w:r>
          </w:p>
          <w:p>
            <w:pPr>
              <w:spacing w:line="500" w:lineRule="exact"/>
              <w:ind w:left="-105" w:leftChars="-50" w:right="-105" w:rightChars="-50"/>
              <w:jc w:val="center"/>
              <w:rPr>
                <w:rFonts w:eastAsia="仿宋_GB2312"/>
                <w:color w:val="000000"/>
                <w:sz w:val="24"/>
              </w:rPr>
            </w:pPr>
            <w:r>
              <w:rPr>
                <w:rFonts w:hint="eastAsia" w:eastAsia="仿宋_GB2312"/>
                <w:color w:val="000000"/>
                <w:sz w:val="24"/>
              </w:rPr>
              <w:t>时间</w:t>
            </w:r>
          </w:p>
        </w:tc>
        <w:tc>
          <w:tcPr>
            <w:tcW w:w="999" w:type="dxa"/>
            <w:gridSpan w:val="3"/>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排放总量</w:t>
            </w:r>
          </w:p>
          <w:p>
            <w:pPr>
              <w:spacing w:line="500" w:lineRule="exact"/>
              <w:ind w:left="-105" w:leftChars="-50" w:right="-105" w:rightChars="-50"/>
              <w:jc w:val="center"/>
              <w:rPr>
                <w:rFonts w:eastAsia="仿宋_GB2312"/>
                <w:color w:val="000000"/>
                <w:sz w:val="24"/>
              </w:rPr>
            </w:pPr>
            <w:r>
              <w:rPr>
                <w:rFonts w:eastAsia="仿宋_GB2312"/>
                <w:color w:val="000000"/>
                <w:sz w:val="24"/>
              </w:rPr>
              <w:t>(kg)</w:t>
            </w:r>
          </w:p>
        </w:tc>
        <w:tc>
          <w:tcPr>
            <w:tcW w:w="1062" w:type="dxa"/>
            <w:gridSpan w:val="4"/>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核定的排放总量（</w:t>
            </w:r>
            <w:r>
              <w:rPr>
                <w:rFonts w:eastAsia="仿宋_GB2312"/>
                <w:color w:val="000000"/>
                <w:sz w:val="24"/>
              </w:rPr>
              <w:t>kg</w:t>
            </w:r>
            <w:r>
              <w:rPr>
                <w:rFonts w:hint="eastAsia" w:eastAsia="仿宋_GB2312"/>
                <w:color w:val="000000"/>
                <w:sz w:val="24"/>
              </w:rPr>
              <w:t>）</w:t>
            </w:r>
          </w:p>
        </w:tc>
        <w:tc>
          <w:tcPr>
            <w:tcW w:w="1936" w:type="dxa"/>
            <w:gridSpan w:val="2"/>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执行的污染物排放标准及浓度限值（</w:t>
            </w:r>
            <w:r>
              <w:rPr>
                <w:rFonts w:eastAsia="仿宋_GB2312"/>
                <w:color w:val="000000"/>
                <w:sz w:val="24"/>
              </w:rPr>
              <w:t>mg/L</w:t>
            </w:r>
            <w:r>
              <w:rPr>
                <w:rFonts w:hint="eastAsia" w:eastAsia="仿宋_GB2312"/>
                <w:color w:val="000000"/>
                <w:sz w:val="24"/>
              </w:rPr>
              <w:t>）</w:t>
            </w:r>
          </w:p>
        </w:tc>
        <w:tc>
          <w:tcPr>
            <w:tcW w:w="752" w:type="dxa"/>
            <w:gridSpan w:val="3"/>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是否</w:t>
            </w:r>
          </w:p>
          <w:p>
            <w:pPr>
              <w:spacing w:line="500" w:lineRule="exact"/>
              <w:ind w:left="-105" w:leftChars="-50" w:right="-105" w:rightChars="-50"/>
              <w:jc w:val="center"/>
              <w:rPr>
                <w:rFonts w:eastAsia="仿宋_GB2312"/>
                <w:color w:val="000000"/>
                <w:sz w:val="24"/>
              </w:rPr>
            </w:pPr>
            <w:r>
              <w:rPr>
                <w:rFonts w:hint="eastAsia" w:eastAsia="仿宋_GB2312"/>
                <w:color w:val="000000"/>
                <w:sz w:val="24"/>
              </w:rPr>
              <w:t>超标</w:t>
            </w:r>
          </w:p>
        </w:tc>
        <w:tc>
          <w:tcPr>
            <w:tcW w:w="772" w:type="dxa"/>
            <w:gridSpan w:val="2"/>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是否需要缴纳排污费（税）</w:t>
            </w:r>
          </w:p>
        </w:tc>
        <w:tc>
          <w:tcPr>
            <w:tcW w:w="1125" w:type="dxa"/>
            <w:noWrap w:val="0"/>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65" w:type="dxa"/>
            <w:gridSpan w:val="2"/>
            <w:vMerge w:val="restart"/>
            <w:noWrap w:val="0"/>
            <w:vAlign w:val="center"/>
          </w:tcPr>
          <w:p>
            <w:pPr>
              <w:spacing w:line="500" w:lineRule="exact"/>
              <w:ind w:left="-105" w:leftChars="-50" w:right="-105" w:rightChars="-50"/>
              <w:jc w:val="center"/>
              <w:rPr>
                <w:rFonts w:hint="eastAsia" w:eastAsia="仿宋_GB2312"/>
                <w:color w:val="000000"/>
                <w:sz w:val="24"/>
              </w:rPr>
            </w:pPr>
            <w:r>
              <w:rPr>
                <w:rFonts w:hint="eastAsia" w:eastAsia="仿宋_GB2312"/>
                <w:color w:val="000000"/>
                <w:sz w:val="24"/>
              </w:rPr>
              <w:t>排放口1</w:t>
            </w:r>
          </w:p>
        </w:tc>
        <w:tc>
          <w:tcPr>
            <w:tcW w:w="1087" w:type="dxa"/>
            <w:gridSpan w:val="3"/>
            <w:vMerge w:val="restart"/>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经度116°1′56.71″，纬度39°</w:t>
            </w:r>
          </w:p>
        </w:tc>
        <w:tc>
          <w:tcPr>
            <w:tcW w:w="829" w:type="dxa"/>
            <w:gridSpan w:val="2"/>
            <w:vMerge w:val="restart"/>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纳管</w:t>
            </w:r>
          </w:p>
        </w:tc>
        <w:tc>
          <w:tcPr>
            <w:tcW w:w="1300" w:type="dxa"/>
            <w:gridSpan w:val="4"/>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PH</w:t>
            </w:r>
          </w:p>
        </w:tc>
        <w:tc>
          <w:tcPr>
            <w:tcW w:w="944" w:type="dxa"/>
            <w:gridSpan w:val="2"/>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6.87</w:t>
            </w:r>
          </w:p>
        </w:tc>
        <w:tc>
          <w:tcPr>
            <w:tcW w:w="784" w:type="dxa"/>
            <w:gridSpan w:val="4"/>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自动</w:t>
            </w:r>
          </w:p>
        </w:tc>
        <w:tc>
          <w:tcPr>
            <w:tcW w:w="654" w:type="dxa"/>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2021/3/26</w:t>
            </w:r>
          </w:p>
        </w:tc>
        <w:tc>
          <w:tcPr>
            <w:tcW w:w="999" w:type="dxa"/>
            <w:gridSpan w:val="3"/>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w:t>
            </w:r>
          </w:p>
        </w:tc>
        <w:tc>
          <w:tcPr>
            <w:tcW w:w="1062" w:type="dxa"/>
            <w:gridSpan w:val="4"/>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w:t>
            </w:r>
          </w:p>
        </w:tc>
        <w:tc>
          <w:tcPr>
            <w:tcW w:w="1936"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《电镀污染物排放标准》GB21900-2008</w:t>
            </w:r>
          </w:p>
          <w:p>
            <w:pPr>
              <w:spacing w:line="500" w:lineRule="exact"/>
              <w:ind w:left="-105" w:leftChars="-50" w:right="-105" w:rightChars="-50"/>
              <w:jc w:val="center"/>
              <w:rPr>
                <w:rFonts w:hint="default" w:eastAsia="仿宋_GB2312"/>
                <w:color w:val="000000"/>
                <w:sz w:val="24"/>
                <w:lang w:val="en-US" w:eastAsia="zh-CN"/>
              </w:rPr>
            </w:pPr>
            <w:r>
              <w:rPr>
                <w:rFonts w:hint="eastAsia" w:eastAsia="仿宋_GB2312"/>
                <w:szCs w:val="21"/>
                <w:lang w:val="en-US" w:eastAsia="zh-CN"/>
              </w:rPr>
              <w:t>6-9</w:t>
            </w:r>
          </w:p>
        </w:tc>
        <w:tc>
          <w:tcPr>
            <w:tcW w:w="752" w:type="dxa"/>
            <w:gridSpan w:val="3"/>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否</w:t>
            </w:r>
          </w:p>
        </w:tc>
        <w:tc>
          <w:tcPr>
            <w:tcW w:w="772" w:type="dxa"/>
            <w:gridSpan w:val="2"/>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 xml:space="preserve">  否</w:t>
            </w:r>
          </w:p>
        </w:tc>
        <w:tc>
          <w:tcPr>
            <w:tcW w:w="1125" w:type="dxa"/>
            <w:noWrap w:val="0"/>
            <w:vAlign w:val="center"/>
          </w:tcPr>
          <w:p>
            <w:pPr>
              <w:spacing w:line="500" w:lineRule="exact"/>
              <w:ind w:left="-105" w:leftChars="-50" w:right="-105" w:rightChars="-50"/>
              <w:jc w:val="center"/>
              <w:rPr>
                <w:rFonts w:hint="eastAsia" w:eastAsia="仿宋_GB2312"/>
                <w:color w:val="000000"/>
                <w:sz w:val="24"/>
                <w:lang w:eastAsia="zh-CN"/>
              </w:rPr>
            </w:pPr>
            <w:r>
              <w:rPr>
                <w:rFonts w:hint="eastAsia" w:eastAsia="仿宋_GB2312"/>
                <w:color w:val="000000"/>
                <w:sz w:val="24"/>
                <w:lang w:eastAsia="zh-CN"/>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65" w:type="dxa"/>
            <w:gridSpan w:val="2"/>
            <w:vMerge w:val="continue"/>
            <w:noWrap w:val="0"/>
            <w:vAlign w:val="center"/>
          </w:tcPr>
          <w:p>
            <w:pPr>
              <w:spacing w:line="500" w:lineRule="exact"/>
              <w:ind w:left="-105" w:leftChars="-50" w:right="-105" w:rightChars="-50"/>
              <w:jc w:val="center"/>
              <w:rPr>
                <w:rFonts w:hint="eastAsia" w:eastAsia="仿宋_GB2312"/>
                <w:color w:val="000000"/>
                <w:sz w:val="24"/>
              </w:rPr>
            </w:pPr>
          </w:p>
        </w:tc>
        <w:tc>
          <w:tcPr>
            <w:tcW w:w="1087" w:type="dxa"/>
            <w:gridSpan w:val="3"/>
            <w:vMerge w:val="continue"/>
            <w:noWrap w:val="0"/>
            <w:vAlign w:val="center"/>
          </w:tcPr>
          <w:p>
            <w:pPr>
              <w:spacing w:line="500" w:lineRule="exact"/>
              <w:ind w:left="-105" w:leftChars="-50" w:right="-105" w:rightChars="-50"/>
              <w:jc w:val="center"/>
              <w:rPr>
                <w:rFonts w:hint="eastAsia" w:eastAsia="仿宋_GB2312"/>
                <w:color w:val="000000"/>
                <w:sz w:val="24"/>
              </w:rPr>
            </w:pPr>
          </w:p>
        </w:tc>
        <w:tc>
          <w:tcPr>
            <w:tcW w:w="829" w:type="dxa"/>
            <w:gridSpan w:val="2"/>
            <w:vMerge w:val="continue"/>
            <w:noWrap w:val="0"/>
            <w:vAlign w:val="center"/>
          </w:tcPr>
          <w:p>
            <w:pPr>
              <w:spacing w:line="500" w:lineRule="exact"/>
              <w:ind w:left="-105" w:leftChars="-50" w:right="-105" w:rightChars="-50"/>
              <w:jc w:val="center"/>
              <w:rPr>
                <w:rFonts w:hint="eastAsia" w:eastAsia="仿宋_GB2312"/>
                <w:color w:val="000000"/>
                <w:sz w:val="24"/>
              </w:rPr>
            </w:pPr>
          </w:p>
        </w:tc>
        <w:tc>
          <w:tcPr>
            <w:tcW w:w="1300" w:type="dxa"/>
            <w:gridSpan w:val="4"/>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动植物油</w:t>
            </w:r>
          </w:p>
        </w:tc>
        <w:tc>
          <w:tcPr>
            <w:tcW w:w="944" w:type="dxa"/>
            <w:gridSpan w:val="2"/>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0.14</w:t>
            </w:r>
          </w:p>
        </w:tc>
        <w:tc>
          <w:tcPr>
            <w:tcW w:w="784" w:type="dxa"/>
            <w:gridSpan w:val="4"/>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手动</w:t>
            </w:r>
          </w:p>
        </w:tc>
        <w:tc>
          <w:tcPr>
            <w:tcW w:w="654" w:type="dxa"/>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2021/3/26</w:t>
            </w:r>
          </w:p>
        </w:tc>
        <w:tc>
          <w:tcPr>
            <w:tcW w:w="999" w:type="dxa"/>
            <w:gridSpan w:val="3"/>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w:t>
            </w:r>
          </w:p>
        </w:tc>
        <w:tc>
          <w:tcPr>
            <w:tcW w:w="1062" w:type="dxa"/>
            <w:gridSpan w:val="4"/>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w:t>
            </w:r>
          </w:p>
        </w:tc>
        <w:tc>
          <w:tcPr>
            <w:tcW w:w="1936"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《电镀污染物排放标准》GB21900-2008</w:t>
            </w:r>
          </w:p>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szCs w:val="21"/>
                <w:lang w:val="en-US" w:eastAsia="zh-CN"/>
              </w:rPr>
              <w:t>100</w:t>
            </w:r>
          </w:p>
        </w:tc>
        <w:tc>
          <w:tcPr>
            <w:tcW w:w="752" w:type="dxa"/>
            <w:gridSpan w:val="3"/>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否</w:t>
            </w:r>
          </w:p>
        </w:tc>
        <w:tc>
          <w:tcPr>
            <w:tcW w:w="772" w:type="dxa"/>
            <w:gridSpan w:val="2"/>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否</w:t>
            </w:r>
          </w:p>
        </w:tc>
        <w:tc>
          <w:tcPr>
            <w:tcW w:w="1125" w:type="dxa"/>
            <w:noWrap w:val="0"/>
            <w:vAlign w:val="center"/>
          </w:tcPr>
          <w:p>
            <w:pPr>
              <w:spacing w:line="500" w:lineRule="exact"/>
              <w:ind w:left="-105" w:leftChars="-50" w:right="-105" w:rightChars="-50"/>
              <w:jc w:val="center"/>
              <w:rPr>
                <w:rFonts w:hint="eastAsia" w:eastAsia="仿宋_GB2312"/>
                <w:color w:val="000000"/>
                <w:sz w:val="24"/>
              </w:rPr>
            </w:pPr>
            <w:r>
              <w:rPr>
                <w:rFonts w:hint="eastAsia" w:eastAsia="仿宋_GB2312"/>
                <w:color w:val="000000"/>
                <w:sz w:val="24"/>
                <w:lang w:eastAsia="zh-CN"/>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65" w:type="dxa"/>
            <w:gridSpan w:val="2"/>
            <w:vMerge w:val="continue"/>
            <w:noWrap w:val="0"/>
            <w:vAlign w:val="center"/>
          </w:tcPr>
          <w:p>
            <w:pPr>
              <w:spacing w:line="500" w:lineRule="exact"/>
              <w:ind w:left="-105" w:leftChars="-50" w:right="-105" w:rightChars="-50"/>
              <w:jc w:val="center"/>
              <w:rPr>
                <w:rFonts w:hint="eastAsia" w:eastAsia="仿宋_GB2312"/>
                <w:color w:val="000000"/>
                <w:sz w:val="24"/>
              </w:rPr>
            </w:pPr>
          </w:p>
        </w:tc>
        <w:tc>
          <w:tcPr>
            <w:tcW w:w="1087" w:type="dxa"/>
            <w:gridSpan w:val="3"/>
            <w:vMerge w:val="continue"/>
            <w:noWrap w:val="0"/>
            <w:vAlign w:val="center"/>
          </w:tcPr>
          <w:p>
            <w:pPr>
              <w:spacing w:line="500" w:lineRule="exact"/>
              <w:ind w:left="-105" w:leftChars="-50" w:right="-105" w:rightChars="-50"/>
              <w:jc w:val="center"/>
              <w:rPr>
                <w:rFonts w:hint="eastAsia" w:eastAsia="仿宋_GB2312"/>
                <w:color w:val="000000"/>
                <w:sz w:val="24"/>
              </w:rPr>
            </w:pPr>
          </w:p>
        </w:tc>
        <w:tc>
          <w:tcPr>
            <w:tcW w:w="829" w:type="dxa"/>
            <w:gridSpan w:val="2"/>
            <w:vMerge w:val="continue"/>
            <w:noWrap w:val="0"/>
            <w:vAlign w:val="center"/>
          </w:tcPr>
          <w:p>
            <w:pPr>
              <w:spacing w:line="500" w:lineRule="exact"/>
              <w:ind w:left="-105" w:leftChars="-50" w:right="-105" w:rightChars="-50"/>
              <w:jc w:val="center"/>
              <w:rPr>
                <w:rFonts w:hint="eastAsia" w:eastAsia="仿宋_GB2312"/>
                <w:color w:val="000000"/>
                <w:sz w:val="24"/>
              </w:rPr>
            </w:pPr>
          </w:p>
        </w:tc>
        <w:tc>
          <w:tcPr>
            <w:tcW w:w="1300" w:type="dxa"/>
            <w:gridSpan w:val="4"/>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石油类</w:t>
            </w:r>
          </w:p>
        </w:tc>
        <w:tc>
          <w:tcPr>
            <w:tcW w:w="944" w:type="dxa"/>
            <w:gridSpan w:val="2"/>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0.18</w:t>
            </w:r>
          </w:p>
        </w:tc>
        <w:tc>
          <w:tcPr>
            <w:tcW w:w="784" w:type="dxa"/>
            <w:gridSpan w:val="4"/>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手动</w:t>
            </w:r>
          </w:p>
        </w:tc>
        <w:tc>
          <w:tcPr>
            <w:tcW w:w="654" w:type="dxa"/>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2021/3/26</w:t>
            </w:r>
          </w:p>
        </w:tc>
        <w:tc>
          <w:tcPr>
            <w:tcW w:w="999" w:type="dxa"/>
            <w:gridSpan w:val="3"/>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w:t>
            </w:r>
          </w:p>
        </w:tc>
        <w:tc>
          <w:tcPr>
            <w:tcW w:w="1062" w:type="dxa"/>
            <w:gridSpan w:val="4"/>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w:t>
            </w:r>
          </w:p>
        </w:tc>
        <w:tc>
          <w:tcPr>
            <w:tcW w:w="1936"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《电镀污染物排放标准》GB21900-2008</w:t>
            </w:r>
          </w:p>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szCs w:val="21"/>
                <w:lang w:val="en-US" w:eastAsia="zh-CN"/>
              </w:rPr>
              <w:t>3.0</w:t>
            </w:r>
          </w:p>
        </w:tc>
        <w:tc>
          <w:tcPr>
            <w:tcW w:w="752" w:type="dxa"/>
            <w:gridSpan w:val="3"/>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否</w:t>
            </w:r>
          </w:p>
        </w:tc>
        <w:tc>
          <w:tcPr>
            <w:tcW w:w="772" w:type="dxa"/>
            <w:gridSpan w:val="2"/>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否</w:t>
            </w:r>
          </w:p>
        </w:tc>
        <w:tc>
          <w:tcPr>
            <w:tcW w:w="1125" w:type="dxa"/>
            <w:noWrap w:val="0"/>
            <w:vAlign w:val="center"/>
          </w:tcPr>
          <w:p>
            <w:pPr>
              <w:spacing w:line="500" w:lineRule="exact"/>
              <w:ind w:left="-105" w:leftChars="-50" w:right="-105" w:rightChars="-50"/>
              <w:jc w:val="center"/>
              <w:rPr>
                <w:rFonts w:hint="eastAsia" w:eastAsia="仿宋_GB2312"/>
                <w:color w:val="000000"/>
                <w:sz w:val="24"/>
              </w:rPr>
            </w:pPr>
            <w:r>
              <w:rPr>
                <w:rFonts w:hint="eastAsia" w:eastAsia="仿宋_GB2312"/>
                <w:color w:val="000000"/>
                <w:sz w:val="24"/>
                <w:lang w:eastAsia="zh-CN"/>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65" w:type="dxa"/>
            <w:gridSpan w:val="2"/>
            <w:vMerge w:val="continue"/>
            <w:noWrap w:val="0"/>
            <w:vAlign w:val="center"/>
          </w:tcPr>
          <w:p>
            <w:pPr>
              <w:spacing w:line="500" w:lineRule="exact"/>
              <w:ind w:left="-105" w:leftChars="-50" w:right="-105" w:rightChars="-50"/>
              <w:jc w:val="center"/>
              <w:rPr>
                <w:rFonts w:hint="eastAsia" w:eastAsia="仿宋_GB2312"/>
                <w:color w:val="000000"/>
                <w:sz w:val="24"/>
              </w:rPr>
            </w:pPr>
          </w:p>
        </w:tc>
        <w:tc>
          <w:tcPr>
            <w:tcW w:w="1087" w:type="dxa"/>
            <w:gridSpan w:val="3"/>
            <w:vMerge w:val="continue"/>
            <w:noWrap w:val="0"/>
            <w:vAlign w:val="center"/>
          </w:tcPr>
          <w:p>
            <w:pPr>
              <w:spacing w:line="500" w:lineRule="exact"/>
              <w:ind w:left="-105" w:leftChars="-50" w:right="-105" w:rightChars="-50"/>
              <w:jc w:val="center"/>
              <w:rPr>
                <w:rFonts w:hint="eastAsia" w:eastAsia="仿宋_GB2312"/>
                <w:color w:val="000000"/>
                <w:sz w:val="24"/>
              </w:rPr>
            </w:pPr>
          </w:p>
        </w:tc>
        <w:tc>
          <w:tcPr>
            <w:tcW w:w="829" w:type="dxa"/>
            <w:gridSpan w:val="2"/>
            <w:vMerge w:val="continue"/>
            <w:noWrap w:val="0"/>
            <w:vAlign w:val="center"/>
          </w:tcPr>
          <w:p>
            <w:pPr>
              <w:spacing w:line="500" w:lineRule="exact"/>
              <w:ind w:left="-105" w:leftChars="-50" w:right="-105" w:rightChars="-50"/>
              <w:jc w:val="center"/>
              <w:rPr>
                <w:rFonts w:hint="eastAsia" w:eastAsia="仿宋_GB2312"/>
                <w:color w:val="000000"/>
                <w:sz w:val="24"/>
              </w:rPr>
            </w:pPr>
          </w:p>
        </w:tc>
        <w:tc>
          <w:tcPr>
            <w:tcW w:w="1300" w:type="dxa"/>
            <w:gridSpan w:val="4"/>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总镍</w:t>
            </w:r>
          </w:p>
        </w:tc>
        <w:tc>
          <w:tcPr>
            <w:tcW w:w="944" w:type="dxa"/>
            <w:gridSpan w:val="2"/>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0.0499</w:t>
            </w:r>
          </w:p>
        </w:tc>
        <w:tc>
          <w:tcPr>
            <w:tcW w:w="784" w:type="dxa"/>
            <w:gridSpan w:val="4"/>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手动</w:t>
            </w:r>
          </w:p>
        </w:tc>
        <w:tc>
          <w:tcPr>
            <w:tcW w:w="654" w:type="dxa"/>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2021/3/26</w:t>
            </w:r>
          </w:p>
        </w:tc>
        <w:tc>
          <w:tcPr>
            <w:tcW w:w="999" w:type="dxa"/>
            <w:gridSpan w:val="3"/>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0.12</w:t>
            </w:r>
          </w:p>
        </w:tc>
        <w:tc>
          <w:tcPr>
            <w:tcW w:w="1062" w:type="dxa"/>
            <w:gridSpan w:val="4"/>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0.44</w:t>
            </w:r>
          </w:p>
        </w:tc>
        <w:tc>
          <w:tcPr>
            <w:tcW w:w="1936" w:type="dxa"/>
            <w:gridSpan w:val="2"/>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《电镀污染物排放标准》GB21900-2008</w:t>
            </w:r>
          </w:p>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0.5</w:t>
            </w:r>
          </w:p>
        </w:tc>
        <w:tc>
          <w:tcPr>
            <w:tcW w:w="752" w:type="dxa"/>
            <w:gridSpan w:val="3"/>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否</w:t>
            </w:r>
          </w:p>
        </w:tc>
        <w:tc>
          <w:tcPr>
            <w:tcW w:w="772" w:type="dxa"/>
            <w:gridSpan w:val="2"/>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是</w:t>
            </w:r>
          </w:p>
        </w:tc>
        <w:tc>
          <w:tcPr>
            <w:tcW w:w="1125" w:type="dxa"/>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已缴纳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65" w:type="dxa"/>
            <w:gridSpan w:val="2"/>
            <w:vMerge w:val="continue"/>
            <w:noWrap w:val="0"/>
            <w:vAlign w:val="center"/>
          </w:tcPr>
          <w:p>
            <w:pPr>
              <w:spacing w:line="500" w:lineRule="exact"/>
              <w:ind w:left="-105" w:leftChars="-50" w:right="-105" w:rightChars="-50"/>
              <w:jc w:val="center"/>
              <w:rPr>
                <w:rFonts w:hint="eastAsia" w:eastAsia="仿宋_GB2312"/>
                <w:color w:val="000000"/>
                <w:sz w:val="24"/>
              </w:rPr>
            </w:pPr>
          </w:p>
        </w:tc>
        <w:tc>
          <w:tcPr>
            <w:tcW w:w="1087" w:type="dxa"/>
            <w:gridSpan w:val="3"/>
            <w:vMerge w:val="continue"/>
            <w:noWrap w:val="0"/>
            <w:vAlign w:val="center"/>
          </w:tcPr>
          <w:p>
            <w:pPr>
              <w:spacing w:line="500" w:lineRule="exact"/>
              <w:ind w:left="-105" w:leftChars="-50" w:right="-105" w:rightChars="-50"/>
              <w:jc w:val="center"/>
              <w:rPr>
                <w:rFonts w:hint="eastAsia" w:eastAsia="仿宋_GB2312"/>
                <w:color w:val="000000"/>
                <w:sz w:val="24"/>
              </w:rPr>
            </w:pPr>
          </w:p>
        </w:tc>
        <w:tc>
          <w:tcPr>
            <w:tcW w:w="829" w:type="dxa"/>
            <w:gridSpan w:val="2"/>
            <w:vMerge w:val="continue"/>
            <w:noWrap w:val="0"/>
            <w:vAlign w:val="center"/>
          </w:tcPr>
          <w:p>
            <w:pPr>
              <w:spacing w:line="500" w:lineRule="exact"/>
              <w:ind w:left="-105" w:leftChars="-50" w:right="-105" w:rightChars="-50"/>
              <w:jc w:val="center"/>
              <w:rPr>
                <w:rFonts w:hint="eastAsia" w:eastAsia="仿宋_GB2312"/>
                <w:color w:val="000000"/>
                <w:sz w:val="24"/>
              </w:rPr>
            </w:pPr>
          </w:p>
        </w:tc>
        <w:tc>
          <w:tcPr>
            <w:tcW w:w="1300" w:type="dxa"/>
            <w:gridSpan w:val="4"/>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总铜</w:t>
            </w:r>
          </w:p>
        </w:tc>
        <w:tc>
          <w:tcPr>
            <w:tcW w:w="944" w:type="dxa"/>
            <w:gridSpan w:val="2"/>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0.056</w:t>
            </w:r>
          </w:p>
        </w:tc>
        <w:tc>
          <w:tcPr>
            <w:tcW w:w="784" w:type="dxa"/>
            <w:gridSpan w:val="4"/>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手动</w:t>
            </w:r>
          </w:p>
        </w:tc>
        <w:tc>
          <w:tcPr>
            <w:tcW w:w="654" w:type="dxa"/>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2021/3/26</w:t>
            </w:r>
          </w:p>
        </w:tc>
        <w:tc>
          <w:tcPr>
            <w:tcW w:w="999" w:type="dxa"/>
            <w:gridSpan w:val="3"/>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0.003</w:t>
            </w:r>
          </w:p>
        </w:tc>
        <w:tc>
          <w:tcPr>
            <w:tcW w:w="1062" w:type="dxa"/>
            <w:gridSpan w:val="4"/>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0.01</w:t>
            </w:r>
          </w:p>
        </w:tc>
        <w:tc>
          <w:tcPr>
            <w:tcW w:w="1936"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《电镀污染物排放标准》GB21900-2008</w:t>
            </w:r>
          </w:p>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szCs w:val="21"/>
                <w:lang w:val="en-US" w:eastAsia="zh-CN"/>
              </w:rPr>
              <w:t>0.5</w:t>
            </w:r>
          </w:p>
        </w:tc>
        <w:tc>
          <w:tcPr>
            <w:tcW w:w="752" w:type="dxa"/>
            <w:gridSpan w:val="3"/>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否</w:t>
            </w:r>
          </w:p>
        </w:tc>
        <w:tc>
          <w:tcPr>
            <w:tcW w:w="772" w:type="dxa"/>
            <w:gridSpan w:val="2"/>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是</w:t>
            </w:r>
          </w:p>
        </w:tc>
        <w:tc>
          <w:tcPr>
            <w:tcW w:w="1125" w:type="dxa"/>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已缴纳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65" w:type="dxa"/>
            <w:gridSpan w:val="2"/>
            <w:vMerge w:val="continue"/>
            <w:noWrap w:val="0"/>
            <w:vAlign w:val="center"/>
          </w:tcPr>
          <w:p>
            <w:pPr>
              <w:spacing w:line="500" w:lineRule="exact"/>
              <w:ind w:left="-105" w:leftChars="-50" w:right="-105" w:rightChars="-50"/>
              <w:jc w:val="center"/>
              <w:rPr>
                <w:rFonts w:hint="eastAsia" w:eastAsia="仿宋_GB2312"/>
                <w:color w:val="000000"/>
                <w:sz w:val="24"/>
              </w:rPr>
            </w:pPr>
          </w:p>
        </w:tc>
        <w:tc>
          <w:tcPr>
            <w:tcW w:w="1087" w:type="dxa"/>
            <w:gridSpan w:val="3"/>
            <w:vMerge w:val="continue"/>
            <w:noWrap w:val="0"/>
            <w:vAlign w:val="center"/>
          </w:tcPr>
          <w:p>
            <w:pPr>
              <w:spacing w:line="500" w:lineRule="exact"/>
              <w:ind w:left="-105" w:leftChars="-50" w:right="-105" w:rightChars="-50"/>
              <w:jc w:val="center"/>
              <w:rPr>
                <w:rFonts w:hint="eastAsia" w:eastAsia="仿宋_GB2312"/>
                <w:color w:val="000000"/>
                <w:sz w:val="24"/>
              </w:rPr>
            </w:pPr>
          </w:p>
        </w:tc>
        <w:tc>
          <w:tcPr>
            <w:tcW w:w="829" w:type="dxa"/>
            <w:gridSpan w:val="2"/>
            <w:vMerge w:val="continue"/>
            <w:noWrap w:val="0"/>
            <w:vAlign w:val="center"/>
          </w:tcPr>
          <w:p>
            <w:pPr>
              <w:spacing w:line="500" w:lineRule="exact"/>
              <w:ind w:left="-105" w:leftChars="-50" w:right="-105" w:rightChars="-50"/>
              <w:jc w:val="center"/>
              <w:rPr>
                <w:rFonts w:hint="eastAsia" w:eastAsia="仿宋_GB2312"/>
                <w:color w:val="000000"/>
                <w:sz w:val="24"/>
              </w:rPr>
            </w:pPr>
          </w:p>
        </w:tc>
        <w:tc>
          <w:tcPr>
            <w:tcW w:w="1300" w:type="dxa"/>
            <w:gridSpan w:val="4"/>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总磷</w:t>
            </w:r>
          </w:p>
        </w:tc>
        <w:tc>
          <w:tcPr>
            <w:tcW w:w="944" w:type="dxa"/>
            <w:gridSpan w:val="2"/>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0.07</w:t>
            </w:r>
          </w:p>
        </w:tc>
        <w:tc>
          <w:tcPr>
            <w:tcW w:w="784" w:type="dxa"/>
            <w:gridSpan w:val="4"/>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手动</w:t>
            </w:r>
          </w:p>
        </w:tc>
        <w:tc>
          <w:tcPr>
            <w:tcW w:w="654" w:type="dxa"/>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2021/3/26</w:t>
            </w:r>
          </w:p>
        </w:tc>
        <w:tc>
          <w:tcPr>
            <w:tcW w:w="999" w:type="dxa"/>
            <w:gridSpan w:val="3"/>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w:t>
            </w:r>
          </w:p>
        </w:tc>
        <w:tc>
          <w:tcPr>
            <w:tcW w:w="1062" w:type="dxa"/>
            <w:gridSpan w:val="4"/>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w:t>
            </w:r>
          </w:p>
        </w:tc>
        <w:tc>
          <w:tcPr>
            <w:tcW w:w="1936"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《电镀污染物排放标准》GB21900-2008</w:t>
            </w:r>
          </w:p>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szCs w:val="21"/>
                <w:lang w:val="en-US" w:eastAsia="zh-CN"/>
              </w:rPr>
              <w:t>1.0</w:t>
            </w:r>
          </w:p>
        </w:tc>
        <w:tc>
          <w:tcPr>
            <w:tcW w:w="752" w:type="dxa"/>
            <w:gridSpan w:val="3"/>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否</w:t>
            </w:r>
          </w:p>
        </w:tc>
        <w:tc>
          <w:tcPr>
            <w:tcW w:w="772" w:type="dxa"/>
            <w:gridSpan w:val="2"/>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否</w:t>
            </w:r>
          </w:p>
        </w:tc>
        <w:tc>
          <w:tcPr>
            <w:tcW w:w="1125" w:type="dxa"/>
            <w:noWrap w:val="0"/>
            <w:vAlign w:val="center"/>
          </w:tcPr>
          <w:p>
            <w:pPr>
              <w:spacing w:line="500" w:lineRule="exact"/>
              <w:ind w:left="-105" w:leftChars="-50" w:right="-105" w:rightChars="-50"/>
              <w:jc w:val="center"/>
              <w:rPr>
                <w:rFonts w:hint="eastAsia" w:eastAsia="仿宋_GB2312"/>
                <w:color w:val="000000"/>
                <w:sz w:val="24"/>
              </w:rPr>
            </w:pPr>
            <w:r>
              <w:rPr>
                <w:rFonts w:hint="eastAsia" w:eastAsia="仿宋_GB2312"/>
                <w:color w:val="000000"/>
                <w:sz w:val="24"/>
                <w:lang w:eastAsia="zh-CN"/>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65" w:type="dxa"/>
            <w:gridSpan w:val="2"/>
            <w:vMerge w:val="continue"/>
            <w:noWrap w:val="0"/>
            <w:vAlign w:val="center"/>
          </w:tcPr>
          <w:p>
            <w:pPr>
              <w:spacing w:line="500" w:lineRule="exact"/>
              <w:ind w:left="-105" w:leftChars="-50" w:right="-105" w:rightChars="-50"/>
              <w:jc w:val="center"/>
              <w:rPr>
                <w:rFonts w:hint="eastAsia" w:eastAsia="仿宋_GB2312"/>
                <w:color w:val="000000"/>
                <w:sz w:val="24"/>
              </w:rPr>
            </w:pPr>
          </w:p>
        </w:tc>
        <w:tc>
          <w:tcPr>
            <w:tcW w:w="1087" w:type="dxa"/>
            <w:gridSpan w:val="3"/>
            <w:vMerge w:val="continue"/>
            <w:noWrap w:val="0"/>
            <w:vAlign w:val="center"/>
          </w:tcPr>
          <w:p>
            <w:pPr>
              <w:spacing w:line="500" w:lineRule="exact"/>
              <w:ind w:left="-105" w:leftChars="-50" w:right="-105" w:rightChars="-50"/>
              <w:jc w:val="center"/>
              <w:rPr>
                <w:rFonts w:hint="eastAsia" w:eastAsia="仿宋_GB2312"/>
                <w:color w:val="000000"/>
                <w:sz w:val="24"/>
              </w:rPr>
            </w:pPr>
          </w:p>
        </w:tc>
        <w:tc>
          <w:tcPr>
            <w:tcW w:w="829" w:type="dxa"/>
            <w:gridSpan w:val="2"/>
            <w:vMerge w:val="continue"/>
            <w:noWrap w:val="0"/>
            <w:vAlign w:val="center"/>
          </w:tcPr>
          <w:p>
            <w:pPr>
              <w:spacing w:line="500" w:lineRule="exact"/>
              <w:ind w:left="-105" w:leftChars="-50" w:right="-105" w:rightChars="-50"/>
              <w:jc w:val="center"/>
              <w:rPr>
                <w:rFonts w:hint="eastAsia" w:eastAsia="仿宋_GB2312"/>
                <w:color w:val="000000"/>
                <w:sz w:val="24"/>
              </w:rPr>
            </w:pPr>
          </w:p>
        </w:tc>
        <w:tc>
          <w:tcPr>
            <w:tcW w:w="1300" w:type="dxa"/>
            <w:gridSpan w:val="4"/>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COD</w:t>
            </w:r>
          </w:p>
        </w:tc>
        <w:tc>
          <w:tcPr>
            <w:tcW w:w="944" w:type="dxa"/>
            <w:gridSpan w:val="2"/>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20.76</w:t>
            </w:r>
          </w:p>
        </w:tc>
        <w:tc>
          <w:tcPr>
            <w:tcW w:w="784" w:type="dxa"/>
            <w:gridSpan w:val="4"/>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自动</w:t>
            </w:r>
          </w:p>
        </w:tc>
        <w:tc>
          <w:tcPr>
            <w:tcW w:w="654" w:type="dxa"/>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2021/3/26</w:t>
            </w:r>
          </w:p>
        </w:tc>
        <w:tc>
          <w:tcPr>
            <w:tcW w:w="999" w:type="dxa"/>
            <w:gridSpan w:val="3"/>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87.63</w:t>
            </w:r>
          </w:p>
        </w:tc>
        <w:tc>
          <w:tcPr>
            <w:tcW w:w="1062" w:type="dxa"/>
            <w:gridSpan w:val="4"/>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114.8</w:t>
            </w:r>
          </w:p>
        </w:tc>
        <w:tc>
          <w:tcPr>
            <w:tcW w:w="1936" w:type="dxa"/>
            <w:gridSpan w:val="2"/>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szCs w:val="21"/>
                <w:lang w:val="en-US" w:eastAsia="zh-CN"/>
              </w:rPr>
              <w:t>《电镀污染物排放标准》GB21900-2008、80</w:t>
            </w:r>
          </w:p>
        </w:tc>
        <w:tc>
          <w:tcPr>
            <w:tcW w:w="752" w:type="dxa"/>
            <w:gridSpan w:val="3"/>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否</w:t>
            </w:r>
          </w:p>
        </w:tc>
        <w:tc>
          <w:tcPr>
            <w:tcW w:w="772" w:type="dxa"/>
            <w:gridSpan w:val="2"/>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是</w:t>
            </w:r>
          </w:p>
        </w:tc>
        <w:tc>
          <w:tcPr>
            <w:tcW w:w="1125" w:type="dxa"/>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已缴纳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65" w:type="dxa"/>
            <w:gridSpan w:val="2"/>
            <w:vMerge w:val="continue"/>
            <w:noWrap w:val="0"/>
            <w:vAlign w:val="center"/>
          </w:tcPr>
          <w:p>
            <w:pPr>
              <w:spacing w:line="500" w:lineRule="exact"/>
              <w:ind w:left="-105" w:leftChars="-50" w:right="-105" w:rightChars="-50"/>
              <w:jc w:val="center"/>
              <w:rPr>
                <w:rFonts w:hint="eastAsia" w:eastAsia="仿宋_GB2312"/>
                <w:color w:val="000000"/>
                <w:sz w:val="24"/>
              </w:rPr>
            </w:pPr>
          </w:p>
        </w:tc>
        <w:tc>
          <w:tcPr>
            <w:tcW w:w="1087" w:type="dxa"/>
            <w:gridSpan w:val="3"/>
            <w:vMerge w:val="continue"/>
            <w:noWrap w:val="0"/>
            <w:vAlign w:val="center"/>
          </w:tcPr>
          <w:p>
            <w:pPr>
              <w:spacing w:line="500" w:lineRule="exact"/>
              <w:ind w:left="-105" w:leftChars="-50" w:right="-105" w:rightChars="-50"/>
              <w:jc w:val="center"/>
              <w:rPr>
                <w:rFonts w:hint="eastAsia" w:eastAsia="仿宋_GB2312"/>
                <w:color w:val="000000"/>
                <w:sz w:val="24"/>
              </w:rPr>
            </w:pPr>
          </w:p>
        </w:tc>
        <w:tc>
          <w:tcPr>
            <w:tcW w:w="829" w:type="dxa"/>
            <w:gridSpan w:val="2"/>
            <w:vMerge w:val="continue"/>
            <w:noWrap w:val="0"/>
            <w:vAlign w:val="center"/>
          </w:tcPr>
          <w:p>
            <w:pPr>
              <w:spacing w:line="500" w:lineRule="exact"/>
              <w:ind w:left="-105" w:leftChars="-50" w:right="-105" w:rightChars="-50"/>
              <w:jc w:val="center"/>
              <w:rPr>
                <w:rFonts w:hint="eastAsia" w:eastAsia="仿宋_GB2312"/>
                <w:color w:val="000000"/>
                <w:sz w:val="24"/>
              </w:rPr>
            </w:pPr>
          </w:p>
        </w:tc>
        <w:tc>
          <w:tcPr>
            <w:tcW w:w="1300" w:type="dxa"/>
            <w:gridSpan w:val="4"/>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氨氮</w:t>
            </w:r>
          </w:p>
        </w:tc>
        <w:tc>
          <w:tcPr>
            <w:tcW w:w="944" w:type="dxa"/>
            <w:gridSpan w:val="2"/>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0.054</w:t>
            </w:r>
          </w:p>
        </w:tc>
        <w:tc>
          <w:tcPr>
            <w:tcW w:w="784" w:type="dxa"/>
            <w:gridSpan w:val="4"/>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自动</w:t>
            </w:r>
          </w:p>
        </w:tc>
        <w:tc>
          <w:tcPr>
            <w:tcW w:w="654" w:type="dxa"/>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2021/3/26</w:t>
            </w:r>
          </w:p>
        </w:tc>
        <w:tc>
          <w:tcPr>
            <w:tcW w:w="999" w:type="dxa"/>
            <w:gridSpan w:val="3"/>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24.38</w:t>
            </w:r>
          </w:p>
        </w:tc>
        <w:tc>
          <w:tcPr>
            <w:tcW w:w="1062" w:type="dxa"/>
            <w:gridSpan w:val="4"/>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40.9</w:t>
            </w:r>
          </w:p>
        </w:tc>
        <w:tc>
          <w:tcPr>
            <w:tcW w:w="1936" w:type="dxa"/>
            <w:gridSpan w:val="2"/>
            <w:noWrap w:val="0"/>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《电镀污染物排放标准》GB21900-2008</w:t>
            </w:r>
          </w:p>
          <w:p>
            <w:pPr>
              <w:spacing w:line="500" w:lineRule="exact"/>
              <w:ind w:left="-105" w:leftChars="-50" w:right="-105" w:rightChars="-50"/>
              <w:jc w:val="center"/>
              <w:rPr>
                <w:rFonts w:hint="default" w:eastAsia="仿宋_GB2312"/>
                <w:color w:val="000000"/>
                <w:sz w:val="24"/>
                <w:lang w:val="en-US" w:eastAsia="zh-CN"/>
              </w:rPr>
            </w:pPr>
            <w:r>
              <w:rPr>
                <w:rFonts w:hint="eastAsia" w:eastAsia="仿宋_GB2312"/>
                <w:szCs w:val="21"/>
                <w:lang w:val="en-US" w:eastAsia="zh-CN"/>
              </w:rPr>
              <w:t>15</w:t>
            </w:r>
          </w:p>
        </w:tc>
        <w:tc>
          <w:tcPr>
            <w:tcW w:w="752" w:type="dxa"/>
            <w:gridSpan w:val="3"/>
            <w:noWrap w:val="0"/>
            <w:vAlign w:val="center"/>
          </w:tcPr>
          <w:p>
            <w:pPr>
              <w:spacing w:line="500" w:lineRule="exact"/>
              <w:ind w:left="-105" w:leftChars="-50" w:right="-105" w:rightChars="-50"/>
              <w:jc w:val="center"/>
              <w:rPr>
                <w:rFonts w:hint="eastAsia" w:eastAsia="仿宋_GB2312"/>
                <w:color w:val="000000"/>
                <w:sz w:val="24"/>
                <w:lang w:val="en-US" w:eastAsia="zh-CN"/>
              </w:rPr>
            </w:pPr>
            <w:r>
              <w:rPr>
                <w:rFonts w:hint="eastAsia" w:eastAsia="仿宋_GB2312"/>
                <w:color w:val="000000"/>
                <w:sz w:val="24"/>
                <w:lang w:val="en-US" w:eastAsia="zh-CN"/>
              </w:rPr>
              <w:t>否</w:t>
            </w:r>
          </w:p>
        </w:tc>
        <w:tc>
          <w:tcPr>
            <w:tcW w:w="772" w:type="dxa"/>
            <w:gridSpan w:val="2"/>
            <w:noWrap w:val="0"/>
            <w:vAlign w:val="center"/>
          </w:tcPr>
          <w:p>
            <w:pPr>
              <w:spacing w:line="500" w:lineRule="exact"/>
              <w:ind w:left="-105" w:leftChars="-50" w:right="-105" w:rightChars="-50"/>
              <w:jc w:val="center"/>
              <w:rPr>
                <w:rFonts w:hint="default" w:eastAsia="仿宋_GB2312"/>
                <w:color w:val="000000"/>
                <w:sz w:val="24"/>
                <w:lang w:val="en-US" w:eastAsia="zh-CN"/>
              </w:rPr>
            </w:pPr>
            <w:r>
              <w:rPr>
                <w:rFonts w:hint="eastAsia" w:eastAsia="仿宋_GB2312"/>
                <w:color w:val="000000"/>
                <w:sz w:val="24"/>
                <w:lang w:val="en-US" w:eastAsia="zh-CN"/>
              </w:rPr>
              <w:t>否</w:t>
            </w:r>
          </w:p>
        </w:tc>
        <w:tc>
          <w:tcPr>
            <w:tcW w:w="1125" w:type="dxa"/>
            <w:noWrap w:val="0"/>
            <w:vAlign w:val="center"/>
          </w:tcPr>
          <w:p>
            <w:pPr>
              <w:spacing w:line="500" w:lineRule="exact"/>
              <w:ind w:left="-105" w:leftChars="-50" w:right="-105" w:rightChars="-50"/>
              <w:jc w:val="center"/>
              <w:rPr>
                <w:rFonts w:hint="eastAsia" w:eastAsia="仿宋_GB2312"/>
                <w:color w:val="000000"/>
                <w:sz w:val="24"/>
              </w:rPr>
            </w:pPr>
            <w:r>
              <w:rPr>
                <w:rFonts w:hint="eastAsia" w:eastAsia="仿宋_GB2312"/>
                <w:color w:val="000000"/>
                <w:sz w:val="24"/>
                <w:lang w:eastAsia="zh-CN"/>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309" w:type="dxa"/>
            <w:gridSpan w:val="33"/>
            <w:noWrap w:val="0"/>
            <w:vAlign w:val="top"/>
          </w:tcPr>
          <w:p>
            <w:pPr>
              <w:spacing w:line="400" w:lineRule="exact"/>
              <w:rPr>
                <w:rFonts w:ascii="Times New Roman" w:hAnsi="Times New Roman" w:eastAsia="仿宋_GB2312"/>
                <w:b/>
                <w:sz w:val="24"/>
                <w:szCs w:val="24"/>
              </w:rPr>
            </w:pPr>
            <w:r>
              <w:rPr>
                <w:rFonts w:hint="eastAsia" w:ascii="黑体" w:hAnsi="黑体" w:eastAsia="黑体"/>
              </w:rPr>
              <w:t>备注</w:t>
            </w:r>
            <w:r>
              <w:rPr>
                <w:rFonts w:hint="eastAsia"/>
              </w:rPr>
              <w:t>：</w:t>
            </w:r>
            <w:r>
              <w:rPr>
                <w:rFonts w:hint="eastAsia" w:ascii="楷体" w:hAnsi="楷体" w:eastAsia="楷体"/>
              </w:rPr>
              <w:t>纳管企业排放总量是以排放口排放浓度来计算。核定的排放总量是指经环保部门许可的排放量。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3309" w:type="dxa"/>
            <w:gridSpan w:val="33"/>
            <w:noWrap w:val="0"/>
            <w:vAlign w:val="center"/>
          </w:tcPr>
          <w:p>
            <w:pPr>
              <w:spacing w:line="600" w:lineRule="exact"/>
              <w:jc w:val="center"/>
              <w:rPr>
                <w:rFonts w:ascii="Times New Roman" w:hAnsi="Times New Roman" w:eastAsia="仿宋_GB2312"/>
                <w:sz w:val="24"/>
                <w:szCs w:val="24"/>
              </w:rPr>
            </w:pPr>
            <w:r>
              <w:rPr>
                <w:rFonts w:hint="eastAsia" w:eastAsia="仿宋_GB2312"/>
                <w:b/>
                <w:sz w:val="28"/>
                <w:szCs w:val="28"/>
              </w:rPr>
              <w:t>大气污染物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5959" w:type="dxa"/>
            <w:gridSpan w:val="16"/>
            <w:noWrap w:val="0"/>
            <w:vAlign w:val="center"/>
          </w:tcPr>
          <w:p>
            <w:pPr>
              <w:spacing w:line="60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排放口数量</w:t>
            </w:r>
          </w:p>
        </w:tc>
        <w:tc>
          <w:tcPr>
            <w:tcW w:w="7350" w:type="dxa"/>
            <w:gridSpan w:val="17"/>
            <w:noWrap w:val="0"/>
            <w:vAlign w:val="top"/>
          </w:tcPr>
          <w:p>
            <w:pPr>
              <w:spacing w:line="6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54" w:type="dxa"/>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排放口编号或名称</w:t>
            </w:r>
          </w:p>
        </w:tc>
        <w:tc>
          <w:tcPr>
            <w:tcW w:w="1077" w:type="dxa"/>
            <w:gridSpan w:val="3"/>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排放口位置</w:t>
            </w:r>
          </w:p>
        </w:tc>
        <w:tc>
          <w:tcPr>
            <w:tcW w:w="822" w:type="dxa"/>
            <w:gridSpan w:val="2"/>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排放方式</w:t>
            </w:r>
          </w:p>
        </w:tc>
        <w:tc>
          <w:tcPr>
            <w:tcW w:w="1289" w:type="dxa"/>
            <w:gridSpan w:val="4"/>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主要</w:t>
            </w:r>
            <w:r>
              <w:rPr>
                <w:rFonts w:ascii="Times New Roman" w:hAnsi="Times New Roman" w:eastAsia="仿宋_GB2312"/>
                <w:sz w:val="24"/>
                <w:szCs w:val="24"/>
              </w:rPr>
              <w:t>/</w:t>
            </w:r>
            <w:r>
              <w:rPr>
                <w:rFonts w:hint="eastAsia" w:ascii="Times New Roman" w:hAnsi="Times New Roman" w:eastAsia="仿宋_GB2312"/>
                <w:sz w:val="24"/>
                <w:szCs w:val="24"/>
              </w:rPr>
              <w:t>特征污染物名称</w:t>
            </w:r>
          </w:p>
        </w:tc>
        <w:tc>
          <w:tcPr>
            <w:tcW w:w="938" w:type="dxa"/>
            <w:gridSpan w:val="2"/>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排放浓度（</w:t>
            </w:r>
            <w:r>
              <w:rPr>
                <w:rFonts w:ascii="Times New Roman" w:hAnsi="Times New Roman" w:eastAsia="仿宋_GB2312"/>
                <w:sz w:val="24"/>
                <w:szCs w:val="24"/>
              </w:rPr>
              <w:t>mg/m</w:t>
            </w:r>
            <w:r>
              <w:rPr>
                <w:rFonts w:ascii="Times New Roman" w:hAnsi="Times New Roman" w:eastAsia="仿宋_GB2312"/>
                <w:sz w:val="24"/>
                <w:szCs w:val="24"/>
                <w:vertAlign w:val="superscript"/>
              </w:rPr>
              <w:t>3</w:t>
            </w:r>
            <w:r>
              <w:rPr>
                <w:rFonts w:hint="eastAsia" w:ascii="Times New Roman" w:hAnsi="Times New Roman" w:eastAsia="仿宋_GB2312"/>
                <w:sz w:val="24"/>
                <w:szCs w:val="24"/>
              </w:rPr>
              <w:t>）</w:t>
            </w:r>
          </w:p>
        </w:tc>
        <w:tc>
          <w:tcPr>
            <w:tcW w:w="779" w:type="dxa"/>
            <w:gridSpan w:val="4"/>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监测</w:t>
            </w:r>
          </w:p>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时间</w:t>
            </w:r>
          </w:p>
        </w:tc>
        <w:tc>
          <w:tcPr>
            <w:tcW w:w="704" w:type="dxa"/>
            <w:gridSpan w:val="2"/>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监测</w:t>
            </w:r>
          </w:p>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方式</w:t>
            </w:r>
          </w:p>
        </w:tc>
        <w:tc>
          <w:tcPr>
            <w:tcW w:w="938" w:type="dxa"/>
            <w:gridSpan w:val="2"/>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排放总量</w:t>
            </w:r>
            <w:r>
              <w:rPr>
                <w:rFonts w:ascii="Times New Roman" w:hAnsi="Times New Roman" w:eastAsia="仿宋_GB2312"/>
                <w:sz w:val="24"/>
                <w:szCs w:val="24"/>
              </w:rPr>
              <w:t>(kg/a)</w:t>
            </w:r>
          </w:p>
        </w:tc>
        <w:tc>
          <w:tcPr>
            <w:tcW w:w="1055" w:type="dxa"/>
            <w:gridSpan w:val="4"/>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核定的排放总量（</w:t>
            </w:r>
            <w:r>
              <w:rPr>
                <w:rFonts w:ascii="Times New Roman" w:hAnsi="Times New Roman" w:eastAsia="仿宋_GB2312"/>
                <w:sz w:val="24"/>
                <w:szCs w:val="24"/>
              </w:rPr>
              <w:t>kg/a</w:t>
            </w:r>
            <w:r>
              <w:rPr>
                <w:rFonts w:hint="eastAsia" w:ascii="Times New Roman" w:hAnsi="Times New Roman" w:eastAsia="仿宋_GB2312"/>
                <w:sz w:val="24"/>
                <w:szCs w:val="24"/>
              </w:rPr>
              <w:t>）</w:t>
            </w:r>
          </w:p>
        </w:tc>
        <w:tc>
          <w:tcPr>
            <w:tcW w:w="2038" w:type="dxa"/>
            <w:gridSpan w:val="4"/>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执行的污染物排放标准及浓度限值（</w:t>
            </w:r>
            <w:r>
              <w:rPr>
                <w:rFonts w:ascii="Times New Roman" w:hAnsi="Times New Roman" w:eastAsia="仿宋_GB2312"/>
                <w:sz w:val="24"/>
                <w:szCs w:val="24"/>
              </w:rPr>
              <w:t>mg/m</w:t>
            </w:r>
            <w:r>
              <w:rPr>
                <w:rFonts w:ascii="Times New Roman" w:hAnsi="Times New Roman" w:eastAsia="仿宋_GB2312"/>
                <w:sz w:val="24"/>
                <w:szCs w:val="24"/>
                <w:vertAlign w:val="superscript"/>
              </w:rPr>
              <w:t>3</w:t>
            </w:r>
            <w:r>
              <w:rPr>
                <w:rFonts w:hint="eastAsia" w:ascii="Times New Roman" w:hAnsi="Times New Roman" w:eastAsia="仿宋_GB2312"/>
                <w:sz w:val="24"/>
                <w:szCs w:val="24"/>
              </w:rPr>
              <w:t>）</w:t>
            </w:r>
          </w:p>
        </w:tc>
        <w:tc>
          <w:tcPr>
            <w:tcW w:w="746" w:type="dxa"/>
            <w:gridSpan w:val="3"/>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是否</w:t>
            </w:r>
          </w:p>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超标</w:t>
            </w:r>
          </w:p>
        </w:tc>
        <w:tc>
          <w:tcPr>
            <w:tcW w:w="744" w:type="dxa"/>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是否需要缴纳排污费（税）</w:t>
            </w:r>
          </w:p>
        </w:tc>
        <w:tc>
          <w:tcPr>
            <w:tcW w:w="1125" w:type="dxa"/>
            <w:noWrap w:val="0"/>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054" w:type="dxa"/>
            <w:noWrap w:val="0"/>
            <w:vAlign w:val="center"/>
          </w:tcPr>
          <w:p>
            <w:pPr>
              <w:widowControl/>
              <w:spacing w:before="100" w:beforeAutospacing="1" w:after="100" w:afterAutospacing="1"/>
              <w:ind w:left="-63"/>
              <w:jc w:val="center"/>
              <w:rPr>
                <w:rFonts w:hint="default" w:ascii="Times New Roman" w:hAnsi="Times New Roman" w:eastAsia="仿宋_GB2312"/>
                <w:sz w:val="21"/>
                <w:szCs w:val="21"/>
                <w:highlight w:val="none"/>
                <w:lang w:val="en-US" w:eastAsia="zh-CN"/>
              </w:rPr>
            </w:pPr>
            <w:r>
              <w:rPr>
                <w:rFonts w:hint="eastAsia" w:ascii="Times New Roman" w:hAnsi="Times New Roman" w:eastAsia="仿宋_GB2312"/>
                <w:sz w:val="21"/>
                <w:szCs w:val="21"/>
                <w:highlight w:val="none"/>
                <w:lang w:val="en-US" w:eastAsia="zh-CN"/>
              </w:rPr>
              <w:t>排放口3</w:t>
            </w:r>
          </w:p>
        </w:tc>
        <w:tc>
          <w:tcPr>
            <w:tcW w:w="1077" w:type="dxa"/>
            <w:gridSpan w:val="3"/>
            <w:noWrap w:val="0"/>
            <w:vAlign w:val="center"/>
          </w:tcPr>
          <w:p>
            <w:pPr>
              <w:widowControl/>
              <w:spacing w:before="100" w:beforeAutospacing="1" w:after="100" w:afterAutospacing="1"/>
              <w:ind w:left="-63"/>
              <w:jc w:val="center"/>
              <w:rPr>
                <w:rFonts w:hint="default" w:ascii="Times New Roman" w:hAnsi="Times New Roman" w:eastAsia="仿宋_GB2312"/>
                <w:sz w:val="21"/>
                <w:szCs w:val="21"/>
                <w:highlight w:val="none"/>
                <w:lang w:val="en-US" w:eastAsia="zh-CN"/>
              </w:rPr>
            </w:pPr>
            <w:r>
              <w:rPr>
                <w:rFonts w:hint="eastAsia" w:ascii="Times New Roman" w:hAnsi="Times New Roman" w:eastAsia="仿宋_GB2312"/>
                <w:sz w:val="21"/>
                <w:szCs w:val="21"/>
                <w:highlight w:val="none"/>
                <w:lang w:val="en-US" w:eastAsia="zh-CN"/>
              </w:rPr>
              <w:t>经度116°1′56.03″纬度39°7′33.35″</w:t>
            </w:r>
          </w:p>
        </w:tc>
        <w:tc>
          <w:tcPr>
            <w:tcW w:w="822" w:type="dxa"/>
            <w:gridSpan w:val="2"/>
            <w:noWrap w:val="0"/>
            <w:vAlign w:val="center"/>
          </w:tcPr>
          <w:p>
            <w:pPr>
              <w:widowControl/>
              <w:spacing w:before="100" w:beforeAutospacing="1" w:after="100" w:afterAutospacing="1"/>
              <w:ind w:left="-63"/>
              <w:jc w:val="center"/>
              <w:rPr>
                <w:rFonts w:hint="default" w:ascii="Times New Roman" w:hAnsi="Times New Roman" w:eastAsia="仿宋_GB2312"/>
                <w:sz w:val="21"/>
                <w:szCs w:val="21"/>
                <w:highlight w:val="none"/>
                <w:lang w:val="en-US" w:eastAsia="zh-CN"/>
              </w:rPr>
            </w:pPr>
            <w:r>
              <w:rPr>
                <w:rFonts w:hint="eastAsia" w:ascii="Times New Roman" w:hAnsi="Times New Roman" w:eastAsia="仿宋_GB2312"/>
                <w:sz w:val="21"/>
                <w:szCs w:val="21"/>
                <w:highlight w:val="none"/>
                <w:lang w:val="en-US" w:eastAsia="zh-CN"/>
              </w:rPr>
              <w:t>排环境</w:t>
            </w:r>
          </w:p>
        </w:tc>
        <w:tc>
          <w:tcPr>
            <w:tcW w:w="1289" w:type="dxa"/>
            <w:gridSpan w:val="4"/>
            <w:noWrap w:val="0"/>
            <w:vAlign w:val="center"/>
          </w:tcPr>
          <w:p>
            <w:pPr>
              <w:widowControl/>
              <w:spacing w:before="100" w:beforeAutospacing="1" w:after="100" w:afterAutospacing="1"/>
              <w:ind w:left="-63"/>
              <w:jc w:val="center"/>
              <w:rPr>
                <w:rFonts w:hint="eastAsia" w:ascii="Times New Roman" w:hAnsi="Times New Roman" w:eastAsia="仿宋_GB2312"/>
                <w:sz w:val="21"/>
                <w:szCs w:val="21"/>
                <w:highlight w:val="none"/>
                <w:lang w:val="en-US" w:eastAsia="zh-CN"/>
              </w:rPr>
            </w:pPr>
            <w:r>
              <w:rPr>
                <w:rFonts w:hint="eastAsia" w:ascii="Times New Roman" w:hAnsi="Times New Roman" w:eastAsia="仿宋_GB2312"/>
                <w:sz w:val="21"/>
                <w:szCs w:val="21"/>
                <w:highlight w:val="none"/>
                <w:lang w:val="en-US" w:eastAsia="zh-CN"/>
              </w:rPr>
              <w:t>硫酸雾</w:t>
            </w:r>
          </w:p>
        </w:tc>
        <w:tc>
          <w:tcPr>
            <w:tcW w:w="938" w:type="dxa"/>
            <w:gridSpan w:val="2"/>
            <w:noWrap w:val="0"/>
            <w:vAlign w:val="center"/>
          </w:tcPr>
          <w:p>
            <w:pPr>
              <w:widowControl/>
              <w:spacing w:before="100" w:beforeAutospacing="1" w:after="100" w:afterAutospacing="1"/>
              <w:ind w:left="-63"/>
              <w:jc w:val="center"/>
              <w:rPr>
                <w:rFonts w:hint="default" w:ascii="Times New Roman" w:hAnsi="Times New Roman" w:eastAsia="仿宋_GB2312"/>
                <w:sz w:val="21"/>
                <w:szCs w:val="21"/>
                <w:highlight w:val="none"/>
                <w:lang w:val="en-US" w:eastAsia="zh-CN"/>
              </w:rPr>
            </w:pPr>
            <w:r>
              <w:rPr>
                <w:rFonts w:hint="eastAsia" w:ascii="Times New Roman" w:hAnsi="Times New Roman" w:eastAsia="仿宋_GB2312"/>
                <w:sz w:val="21"/>
                <w:szCs w:val="21"/>
                <w:highlight w:val="none"/>
                <w:lang w:val="en-US" w:eastAsia="zh-CN"/>
              </w:rPr>
              <w:t>未检出</w:t>
            </w:r>
          </w:p>
        </w:tc>
        <w:tc>
          <w:tcPr>
            <w:tcW w:w="779" w:type="dxa"/>
            <w:gridSpan w:val="4"/>
            <w:noWrap w:val="0"/>
            <w:vAlign w:val="top"/>
          </w:tcPr>
          <w:p>
            <w:pPr>
              <w:widowControl/>
              <w:spacing w:before="100" w:beforeAutospacing="1" w:after="100" w:afterAutospacing="1"/>
              <w:ind w:left="-63"/>
              <w:jc w:val="center"/>
              <w:rPr>
                <w:rFonts w:hint="eastAsia" w:ascii="Times New Roman" w:hAnsi="Times New Roman" w:eastAsia="仿宋_GB2312"/>
                <w:sz w:val="21"/>
                <w:szCs w:val="21"/>
                <w:highlight w:val="none"/>
                <w:lang w:val="en-US" w:eastAsia="zh-CN"/>
              </w:rPr>
            </w:pPr>
          </w:p>
          <w:p>
            <w:pPr>
              <w:widowControl/>
              <w:spacing w:before="100" w:beforeAutospacing="1" w:after="100" w:afterAutospacing="1"/>
              <w:ind w:left="-63"/>
              <w:jc w:val="center"/>
              <w:rPr>
                <w:rFonts w:hint="default" w:ascii="Times New Roman" w:hAnsi="Times New Roman" w:eastAsia="仿宋_GB2312"/>
                <w:sz w:val="21"/>
                <w:szCs w:val="21"/>
                <w:highlight w:val="none"/>
                <w:lang w:val="en-US" w:eastAsia="zh-CN"/>
              </w:rPr>
            </w:pPr>
            <w:r>
              <w:rPr>
                <w:rFonts w:hint="eastAsia" w:ascii="Times New Roman" w:hAnsi="Times New Roman" w:eastAsia="仿宋_GB2312"/>
                <w:sz w:val="21"/>
                <w:szCs w:val="21"/>
                <w:highlight w:val="none"/>
                <w:lang w:val="en-US" w:eastAsia="zh-CN"/>
              </w:rPr>
              <w:t>2021/6/24</w:t>
            </w:r>
          </w:p>
        </w:tc>
        <w:tc>
          <w:tcPr>
            <w:tcW w:w="704" w:type="dxa"/>
            <w:gridSpan w:val="2"/>
            <w:noWrap w:val="0"/>
            <w:vAlign w:val="top"/>
          </w:tcPr>
          <w:p>
            <w:pPr>
              <w:widowControl/>
              <w:spacing w:before="100" w:beforeAutospacing="1" w:after="100" w:afterAutospacing="1"/>
              <w:jc w:val="both"/>
              <w:rPr>
                <w:rFonts w:hint="eastAsia" w:ascii="Times New Roman" w:hAnsi="Times New Roman" w:eastAsia="仿宋_GB2312"/>
                <w:sz w:val="21"/>
                <w:szCs w:val="21"/>
                <w:highlight w:val="none"/>
                <w:lang w:val="en-US" w:eastAsia="zh-CN"/>
              </w:rPr>
            </w:pPr>
          </w:p>
          <w:p>
            <w:pPr>
              <w:widowControl/>
              <w:spacing w:before="100" w:beforeAutospacing="1" w:after="100" w:afterAutospacing="1"/>
              <w:ind w:left="-63"/>
              <w:jc w:val="center"/>
              <w:rPr>
                <w:rFonts w:hint="eastAsia" w:ascii="Times New Roman" w:hAnsi="Times New Roman" w:eastAsia="仿宋_GB2312"/>
                <w:sz w:val="21"/>
                <w:szCs w:val="21"/>
                <w:highlight w:val="none"/>
                <w:lang w:val="en-US" w:eastAsia="zh-CN"/>
              </w:rPr>
            </w:pPr>
            <w:r>
              <w:rPr>
                <w:rFonts w:hint="eastAsia" w:ascii="Times New Roman" w:hAnsi="Times New Roman" w:eastAsia="仿宋_GB2312"/>
                <w:sz w:val="21"/>
                <w:szCs w:val="21"/>
                <w:highlight w:val="none"/>
                <w:lang w:val="en-US" w:eastAsia="zh-CN"/>
              </w:rPr>
              <w:t>手动</w:t>
            </w:r>
          </w:p>
        </w:tc>
        <w:tc>
          <w:tcPr>
            <w:tcW w:w="938" w:type="dxa"/>
            <w:gridSpan w:val="2"/>
            <w:noWrap w:val="0"/>
            <w:vAlign w:val="center"/>
          </w:tcPr>
          <w:p>
            <w:pPr>
              <w:widowControl/>
              <w:spacing w:before="100" w:beforeAutospacing="1" w:after="100" w:afterAutospacing="1"/>
              <w:ind w:left="-63"/>
              <w:jc w:val="center"/>
              <w:rPr>
                <w:rFonts w:hint="eastAsia" w:ascii="Times New Roman" w:hAnsi="Times New Roman" w:eastAsia="仿宋_GB2312"/>
                <w:sz w:val="21"/>
                <w:szCs w:val="21"/>
                <w:highlight w:val="none"/>
                <w:lang w:val="en-US" w:eastAsia="zh-CN"/>
              </w:rPr>
            </w:pPr>
            <w:r>
              <w:rPr>
                <w:rFonts w:hint="eastAsia" w:ascii="Times New Roman" w:hAnsi="Times New Roman" w:eastAsia="仿宋_GB2312"/>
                <w:sz w:val="21"/>
                <w:szCs w:val="21"/>
                <w:highlight w:val="none"/>
                <w:lang w:val="en-US" w:eastAsia="zh-CN"/>
              </w:rPr>
              <w:t>/</w:t>
            </w:r>
          </w:p>
        </w:tc>
        <w:tc>
          <w:tcPr>
            <w:tcW w:w="1055" w:type="dxa"/>
            <w:gridSpan w:val="4"/>
            <w:noWrap w:val="0"/>
            <w:vAlign w:val="center"/>
          </w:tcPr>
          <w:p>
            <w:pPr>
              <w:widowControl/>
              <w:spacing w:before="100" w:beforeAutospacing="1" w:after="100" w:afterAutospacing="1"/>
              <w:ind w:left="-63"/>
              <w:jc w:val="center"/>
              <w:rPr>
                <w:rFonts w:hint="eastAsia" w:ascii="Times New Roman" w:hAnsi="Times New Roman" w:eastAsia="仿宋_GB2312"/>
                <w:sz w:val="21"/>
                <w:szCs w:val="21"/>
                <w:highlight w:val="none"/>
                <w:lang w:val="en-US" w:eastAsia="zh-CN"/>
              </w:rPr>
            </w:pPr>
            <w:r>
              <w:rPr>
                <w:rFonts w:hint="eastAsia" w:ascii="Times New Roman" w:hAnsi="Times New Roman" w:eastAsia="仿宋_GB2312"/>
                <w:sz w:val="21"/>
                <w:szCs w:val="21"/>
                <w:highlight w:val="none"/>
                <w:lang w:val="en-US" w:eastAsia="zh-CN"/>
              </w:rPr>
              <w:t>/</w:t>
            </w:r>
          </w:p>
        </w:tc>
        <w:tc>
          <w:tcPr>
            <w:tcW w:w="2038" w:type="dxa"/>
            <w:gridSpan w:val="4"/>
            <w:noWrap w:val="0"/>
            <w:vAlign w:val="center"/>
          </w:tcPr>
          <w:p>
            <w:pPr>
              <w:widowControl/>
              <w:spacing w:before="100" w:beforeAutospacing="1" w:after="100" w:afterAutospacing="1"/>
              <w:ind w:left="-63"/>
              <w:jc w:val="center"/>
              <w:rPr>
                <w:rFonts w:hint="default" w:ascii="Times New Roman" w:hAnsi="Times New Roman" w:eastAsia="仿宋_GB2312"/>
                <w:sz w:val="21"/>
                <w:szCs w:val="21"/>
                <w:highlight w:val="none"/>
                <w:lang w:val="en-US" w:eastAsia="zh-CN"/>
              </w:rPr>
            </w:pPr>
            <w:r>
              <w:rPr>
                <w:rFonts w:hint="eastAsia" w:ascii="Times New Roman" w:hAnsi="Times New Roman" w:eastAsia="仿宋_GB2312"/>
                <w:sz w:val="21"/>
                <w:szCs w:val="21"/>
                <w:highlight w:val="none"/>
                <w:lang w:val="en-US" w:eastAsia="zh-CN"/>
              </w:rPr>
              <w:t>30mg/Nm³</w:t>
            </w:r>
          </w:p>
        </w:tc>
        <w:tc>
          <w:tcPr>
            <w:tcW w:w="746" w:type="dxa"/>
            <w:gridSpan w:val="3"/>
            <w:noWrap w:val="0"/>
            <w:vAlign w:val="center"/>
          </w:tcPr>
          <w:p>
            <w:pPr>
              <w:widowControl/>
              <w:spacing w:before="100" w:beforeAutospacing="1" w:after="100" w:afterAutospacing="1"/>
              <w:ind w:left="-63"/>
              <w:jc w:val="center"/>
              <w:rPr>
                <w:rFonts w:hint="eastAsia" w:ascii="Times New Roman" w:hAnsi="Times New Roman" w:eastAsia="仿宋_GB2312"/>
                <w:sz w:val="21"/>
                <w:szCs w:val="21"/>
                <w:highlight w:val="none"/>
                <w:lang w:val="en-US" w:eastAsia="zh-CN"/>
              </w:rPr>
            </w:pPr>
            <w:r>
              <w:rPr>
                <w:rFonts w:hint="eastAsia" w:ascii="Times New Roman" w:hAnsi="Times New Roman" w:eastAsia="仿宋_GB2312"/>
                <w:sz w:val="21"/>
                <w:szCs w:val="21"/>
                <w:highlight w:val="none"/>
                <w:lang w:val="en-US" w:eastAsia="zh-CN"/>
              </w:rPr>
              <w:t>否</w:t>
            </w:r>
          </w:p>
        </w:tc>
        <w:tc>
          <w:tcPr>
            <w:tcW w:w="744" w:type="dxa"/>
            <w:noWrap w:val="0"/>
            <w:vAlign w:val="center"/>
          </w:tcPr>
          <w:p>
            <w:pPr>
              <w:widowControl/>
              <w:spacing w:before="100" w:beforeAutospacing="1" w:after="100" w:afterAutospacing="1"/>
              <w:ind w:left="-63"/>
              <w:jc w:val="center"/>
              <w:rPr>
                <w:rFonts w:hint="eastAsia" w:ascii="Times New Roman" w:hAnsi="Times New Roman" w:eastAsia="仿宋_GB2312"/>
                <w:sz w:val="21"/>
                <w:szCs w:val="21"/>
                <w:highlight w:val="none"/>
                <w:lang w:val="en-US" w:eastAsia="zh-CN"/>
              </w:rPr>
            </w:pPr>
            <w:r>
              <w:rPr>
                <w:rFonts w:hint="eastAsia" w:ascii="Times New Roman" w:hAnsi="Times New Roman" w:eastAsia="仿宋_GB2312"/>
                <w:sz w:val="21"/>
                <w:szCs w:val="21"/>
                <w:highlight w:val="none"/>
                <w:lang w:val="en-US" w:eastAsia="zh-CN"/>
              </w:rPr>
              <w:t>否</w:t>
            </w:r>
          </w:p>
        </w:tc>
        <w:tc>
          <w:tcPr>
            <w:tcW w:w="1125" w:type="dxa"/>
            <w:noWrap w:val="0"/>
            <w:vAlign w:val="center"/>
          </w:tcPr>
          <w:p>
            <w:pPr>
              <w:widowControl/>
              <w:spacing w:before="100" w:beforeAutospacing="1" w:after="100" w:afterAutospacing="1"/>
              <w:ind w:left="-63"/>
              <w:jc w:val="center"/>
              <w:rPr>
                <w:rFonts w:hint="eastAsia" w:ascii="Times New Roman" w:hAnsi="Times New Roman" w:eastAsia="仿宋_GB2312"/>
                <w:sz w:val="21"/>
                <w:szCs w:val="21"/>
                <w:highlight w:val="none"/>
                <w:lang w:val="en-US" w:eastAsia="zh-CN"/>
              </w:rPr>
            </w:pPr>
            <w:r>
              <w:rPr>
                <w:rFonts w:hint="eastAsia" w:eastAsia="仿宋_GB2312"/>
                <w:color w:val="000000"/>
                <w:sz w:val="24"/>
                <w:lang w:eastAsia="zh-CN"/>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309" w:type="dxa"/>
            <w:gridSpan w:val="33"/>
            <w:noWrap w:val="0"/>
            <w:vAlign w:val="center"/>
          </w:tcPr>
          <w:p>
            <w:pPr>
              <w:spacing w:line="560" w:lineRule="exact"/>
              <w:jc w:val="center"/>
              <w:rPr>
                <w:rFonts w:eastAsia="仿宋_GB2312"/>
                <w:b/>
                <w:sz w:val="28"/>
                <w:szCs w:val="28"/>
              </w:rPr>
            </w:pPr>
            <w:r>
              <w:rPr>
                <w:rFonts w:hint="eastAsia" w:eastAsia="仿宋_GB2312"/>
                <w:b/>
                <w:sz w:val="28"/>
                <w:szCs w:val="28"/>
              </w:rPr>
              <w:t>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6" w:type="dxa"/>
            <w:gridSpan w:val="3"/>
            <w:noWrap w:val="0"/>
            <w:vAlign w:val="center"/>
          </w:tcPr>
          <w:p>
            <w:pPr>
              <w:spacing w:line="500" w:lineRule="exact"/>
              <w:ind w:left="-105" w:leftChars="-50" w:right="-105" w:rightChars="-50"/>
              <w:jc w:val="center"/>
              <w:rPr>
                <w:rFonts w:eastAsia="仿宋_GB2312"/>
                <w:sz w:val="24"/>
              </w:rPr>
            </w:pPr>
            <w:r>
              <w:rPr>
                <w:rFonts w:hint="eastAsia" w:eastAsia="仿宋_GB2312"/>
                <w:sz w:val="24"/>
              </w:rPr>
              <w:t>废物名称</w:t>
            </w:r>
          </w:p>
        </w:tc>
        <w:tc>
          <w:tcPr>
            <w:tcW w:w="1879" w:type="dxa"/>
            <w:gridSpan w:val="5"/>
            <w:noWrap w:val="0"/>
            <w:vAlign w:val="center"/>
          </w:tcPr>
          <w:p>
            <w:pPr>
              <w:spacing w:line="500" w:lineRule="exact"/>
              <w:ind w:left="-105" w:leftChars="-50" w:right="-105" w:rightChars="-50"/>
              <w:jc w:val="center"/>
              <w:rPr>
                <w:rFonts w:eastAsia="仿宋_GB2312"/>
                <w:sz w:val="24"/>
              </w:rPr>
            </w:pPr>
            <w:r>
              <w:rPr>
                <w:rFonts w:hint="eastAsia" w:eastAsia="仿宋_GB2312"/>
                <w:sz w:val="24"/>
              </w:rPr>
              <w:t>是否危险废物</w:t>
            </w:r>
          </w:p>
        </w:tc>
        <w:tc>
          <w:tcPr>
            <w:tcW w:w="1970" w:type="dxa"/>
            <w:gridSpan w:val="7"/>
            <w:noWrap w:val="0"/>
            <w:vAlign w:val="center"/>
          </w:tcPr>
          <w:p>
            <w:pPr>
              <w:spacing w:line="500" w:lineRule="exact"/>
              <w:ind w:left="-105" w:leftChars="-50" w:right="-105" w:rightChars="-50"/>
              <w:jc w:val="center"/>
              <w:rPr>
                <w:rFonts w:eastAsia="仿宋_GB2312"/>
                <w:sz w:val="24"/>
              </w:rPr>
            </w:pPr>
            <w:r>
              <w:rPr>
                <w:rFonts w:hint="eastAsia" w:eastAsia="仿宋_GB2312"/>
                <w:sz w:val="24"/>
              </w:rPr>
              <w:t>处理处置方式</w:t>
            </w:r>
          </w:p>
        </w:tc>
        <w:tc>
          <w:tcPr>
            <w:tcW w:w="2265" w:type="dxa"/>
            <w:gridSpan w:val="7"/>
            <w:noWrap w:val="0"/>
            <w:vAlign w:val="center"/>
          </w:tcPr>
          <w:p>
            <w:pPr>
              <w:spacing w:line="500" w:lineRule="exact"/>
              <w:ind w:left="-105" w:leftChars="-50" w:right="-105" w:rightChars="-50"/>
              <w:jc w:val="center"/>
              <w:rPr>
                <w:rFonts w:eastAsia="仿宋_GB2312"/>
                <w:sz w:val="24"/>
              </w:rPr>
            </w:pPr>
            <w:r>
              <w:rPr>
                <w:rFonts w:hint="eastAsia" w:eastAsia="仿宋_GB2312"/>
                <w:sz w:val="24"/>
              </w:rPr>
              <w:t>处理处置数量（</w:t>
            </w:r>
            <w:r>
              <w:rPr>
                <w:rFonts w:eastAsia="仿宋_GB2312"/>
                <w:sz w:val="24"/>
              </w:rPr>
              <w:t>t</w:t>
            </w:r>
            <w:r>
              <w:rPr>
                <w:rFonts w:hint="eastAsia" w:eastAsia="仿宋_GB2312"/>
                <w:sz w:val="24"/>
              </w:rPr>
              <w:t>）</w:t>
            </w:r>
          </w:p>
        </w:tc>
        <w:tc>
          <w:tcPr>
            <w:tcW w:w="1713" w:type="dxa"/>
            <w:gridSpan w:val="4"/>
            <w:noWrap w:val="0"/>
            <w:vAlign w:val="center"/>
          </w:tcPr>
          <w:p>
            <w:pPr>
              <w:spacing w:line="500" w:lineRule="exact"/>
              <w:ind w:right="-105" w:rightChars="-50"/>
              <w:jc w:val="center"/>
              <w:rPr>
                <w:rFonts w:eastAsia="仿宋_GB2312"/>
                <w:sz w:val="24"/>
              </w:rPr>
            </w:pPr>
            <w:r>
              <w:rPr>
                <w:rFonts w:hint="eastAsia" w:eastAsia="仿宋_GB2312"/>
                <w:sz w:val="24"/>
              </w:rPr>
              <w:t>处置去向</w:t>
            </w:r>
          </w:p>
        </w:tc>
        <w:tc>
          <w:tcPr>
            <w:tcW w:w="1696" w:type="dxa"/>
            <w:gridSpan w:val="3"/>
            <w:noWrap w:val="0"/>
            <w:vAlign w:val="center"/>
          </w:tcPr>
          <w:p>
            <w:pPr>
              <w:spacing w:line="500" w:lineRule="exact"/>
              <w:ind w:right="-105" w:rightChars="-50"/>
              <w:jc w:val="center"/>
              <w:rPr>
                <w:rFonts w:eastAsia="仿宋_GB2312"/>
                <w:sz w:val="24"/>
              </w:rPr>
            </w:pPr>
            <w:r>
              <w:rPr>
                <w:rFonts w:hint="eastAsia" w:eastAsia="仿宋_GB2312"/>
                <w:sz w:val="24"/>
              </w:rPr>
              <w:t>是否需要缴纳排污费（税）</w:t>
            </w:r>
          </w:p>
        </w:tc>
        <w:tc>
          <w:tcPr>
            <w:tcW w:w="2000" w:type="dxa"/>
            <w:gridSpan w:val="4"/>
            <w:noWrap w:val="0"/>
            <w:vAlign w:val="center"/>
          </w:tcPr>
          <w:p>
            <w:pPr>
              <w:spacing w:line="500" w:lineRule="exact"/>
              <w:ind w:right="-105" w:rightChars="-50"/>
              <w:jc w:val="center"/>
              <w:rPr>
                <w:rFonts w:eastAsia="仿宋_GB2312"/>
                <w:sz w:val="24"/>
              </w:rPr>
            </w:pPr>
            <w:r>
              <w:rPr>
                <w:rFonts w:hint="eastAsia" w:eastAsia="仿宋_GB2312"/>
                <w:sz w:val="24"/>
              </w:rPr>
              <w:t>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86" w:type="dxa"/>
            <w:gridSpan w:val="3"/>
            <w:noWrap w:val="0"/>
            <w:vAlign w:val="center"/>
          </w:tcPr>
          <w:p>
            <w:pPr>
              <w:widowControl/>
              <w:spacing w:before="100" w:beforeAutospacing="1" w:after="100" w:afterAutospacing="1"/>
              <w:jc w:val="center"/>
              <w:rPr>
                <w:rFonts w:hint="default" w:eastAsia="仿宋_GB2312"/>
                <w:sz w:val="24"/>
                <w:highlight w:val="none"/>
                <w:lang w:val="en-US" w:eastAsia="zh-CN"/>
              </w:rPr>
            </w:pPr>
            <w:r>
              <w:rPr>
                <w:rFonts w:hint="eastAsia" w:eastAsia="仿宋_GB2312"/>
                <w:sz w:val="24"/>
                <w:highlight w:val="none"/>
                <w:lang w:val="en-US" w:eastAsia="zh-CN"/>
              </w:rPr>
              <w:t>电镀污泥</w:t>
            </w:r>
          </w:p>
        </w:tc>
        <w:tc>
          <w:tcPr>
            <w:tcW w:w="1879" w:type="dxa"/>
            <w:gridSpan w:val="5"/>
            <w:noWrap w:val="0"/>
            <w:vAlign w:val="center"/>
          </w:tcPr>
          <w:p>
            <w:pPr>
              <w:widowControl/>
              <w:spacing w:before="100" w:beforeAutospacing="1" w:after="100" w:afterAutospacing="1"/>
              <w:ind w:left="-105"/>
              <w:jc w:val="center"/>
              <w:rPr>
                <w:rFonts w:hint="eastAsia" w:eastAsia="仿宋_GB2312"/>
                <w:sz w:val="24"/>
                <w:highlight w:val="none"/>
                <w:lang w:val="en-US" w:eastAsia="zh-CN"/>
              </w:rPr>
            </w:pPr>
            <w:r>
              <w:rPr>
                <w:rFonts w:hint="eastAsia" w:eastAsia="仿宋_GB2312"/>
                <w:sz w:val="24"/>
                <w:highlight w:val="none"/>
                <w:lang w:val="en-US" w:eastAsia="zh-CN"/>
              </w:rPr>
              <w:t>是</w:t>
            </w:r>
          </w:p>
        </w:tc>
        <w:tc>
          <w:tcPr>
            <w:tcW w:w="1970" w:type="dxa"/>
            <w:gridSpan w:val="7"/>
            <w:noWrap w:val="0"/>
            <w:vAlign w:val="center"/>
          </w:tcPr>
          <w:p>
            <w:pPr>
              <w:widowControl/>
              <w:spacing w:before="100" w:beforeAutospacing="1" w:after="100" w:afterAutospacing="1"/>
              <w:ind w:left="-105"/>
              <w:jc w:val="center"/>
              <w:rPr>
                <w:rFonts w:hint="default" w:eastAsia="仿宋_GB2312"/>
                <w:sz w:val="24"/>
                <w:highlight w:val="none"/>
                <w:lang w:val="en-US" w:eastAsia="zh-CN"/>
              </w:rPr>
            </w:pPr>
            <w:r>
              <w:rPr>
                <w:rFonts w:hint="eastAsia" w:eastAsia="仿宋_GB2312"/>
                <w:sz w:val="24"/>
                <w:highlight w:val="none"/>
                <w:lang w:val="en-US" w:eastAsia="zh-CN"/>
              </w:rPr>
              <w:t>委托处置</w:t>
            </w:r>
          </w:p>
        </w:tc>
        <w:tc>
          <w:tcPr>
            <w:tcW w:w="2265" w:type="dxa"/>
            <w:gridSpan w:val="7"/>
            <w:noWrap w:val="0"/>
            <w:vAlign w:val="center"/>
          </w:tcPr>
          <w:p>
            <w:pPr>
              <w:widowControl/>
              <w:spacing w:before="100" w:beforeAutospacing="1" w:after="100" w:afterAutospacing="1"/>
              <w:ind w:left="-105"/>
              <w:jc w:val="center"/>
              <w:rPr>
                <w:rFonts w:hint="default" w:eastAsia="仿宋_GB2312"/>
                <w:sz w:val="24"/>
                <w:highlight w:val="none"/>
                <w:lang w:val="en-US" w:eastAsia="zh-CN"/>
              </w:rPr>
            </w:pPr>
            <w:r>
              <w:rPr>
                <w:rFonts w:hint="eastAsia" w:eastAsia="仿宋_GB2312"/>
                <w:sz w:val="24"/>
                <w:highlight w:val="none"/>
                <w:lang w:val="en-US" w:eastAsia="zh-CN"/>
              </w:rPr>
              <w:t>11.8857</w:t>
            </w:r>
          </w:p>
        </w:tc>
        <w:tc>
          <w:tcPr>
            <w:tcW w:w="1713" w:type="dxa"/>
            <w:gridSpan w:val="4"/>
            <w:noWrap w:val="0"/>
            <w:vAlign w:val="center"/>
          </w:tcPr>
          <w:p>
            <w:pPr>
              <w:widowControl/>
              <w:spacing w:before="100" w:beforeAutospacing="1" w:after="100" w:afterAutospacing="1"/>
              <w:jc w:val="center"/>
              <w:rPr>
                <w:rFonts w:hint="default" w:eastAsia="仿宋_GB2312"/>
                <w:sz w:val="24"/>
                <w:highlight w:val="none"/>
                <w:lang w:val="en-US" w:eastAsia="zh-CN"/>
              </w:rPr>
            </w:pPr>
            <w:r>
              <w:rPr>
                <w:rFonts w:hint="eastAsia" w:eastAsia="仿宋_GB2312"/>
                <w:sz w:val="24"/>
                <w:highlight w:val="none"/>
                <w:lang w:val="en-US" w:eastAsia="zh-CN"/>
              </w:rPr>
              <w:t>涞水金隅冀东环保科技有限公司</w:t>
            </w:r>
          </w:p>
        </w:tc>
        <w:tc>
          <w:tcPr>
            <w:tcW w:w="1696" w:type="dxa"/>
            <w:gridSpan w:val="3"/>
            <w:noWrap w:val="0"/>
            <w:vAlign w:val="center"/>
          </w:tcPr>
          <w:p>
            <w:pPr>
              <w:widowControl/>
              <w:spacing w:before="100" w:beforeAutospacing="1" w:after="100" w:afterAutospacing="1"/>
              <w:jc w:val="center"/>
              <w:rPr>
                <w:rFonts w:hint="default" w:eastAsia="仿宋_GB2312"/>
                <w:sz w:val="24"/>
                <w:highlight w:val="none"/>
                <w:lang w:val="en-US" w:eastAsia="zh-CN"/>
              </w:rPr>
            </w:pPr>
            <w:r>
              <w:rPr>
                <w:rFonts w:hint="eastAsia" w:eastAsia="仿宋_GB2312"/>
                <w:sz w:val="24"/>
                <w:highlight w:val="none"/>
                <w:lang w:val="en-US" w:eastAsia="zh-CN"/>
              </w:rPr>
              <w:t>否</w:t>
            </w:r>
          </w:p>
        </w:tc>
        <w:tc>
          <w:tcPr>
            <w:tcW w:w="2000" w:type="dxa"/>
            <w:gridSpan w:val="4"/>
            <w:noWrap w:val="0"/>
            <w:vAlign w:val="center"/>
          </w:tcPr>
          <w:p>
            <w:pPr>
              <w:widowControl/>
              <w:spacing w:before="100" w:beforeAutospacing="1" w:after="100" w:afterAutospacing="1"/>
              <w:jc w:val="center"/>
              <w:rPr>
                <w:rFonts w:eastAsia="仿宋_GB2312"/>
                <w:sz w:val="24"/>
                <w:highlight w:val="none"/>
              </w:rPr>
            </w:pPr>
            <w:r>
              <w:rPr>
                <w:rFonts w:hint="eastAsia" w:eastAsia="仿宋_GB2312"/>
                <w:szCs w:val="21"/>
                <w:lang w:val="en-US" w:eastAsia="zh-CN"/>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86" w:type="dxa"/>
            <w:gridSpan w:val="3"/>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val="en-US" w:eastAsia="zh-CN"/>
              </w:rPr>
              <w:t>监测废液</w:t>
            </w:r>
          </w:p>
        </w:tc>
        <w:tc>
          <w:tcPr>
            <w:tcW w:w="1879" w:type="dxa"/>
            <w:gridSpan w:val="5"/>
            <w:noWrap w:val="0"/>
            <w:vAlign w:val="center"/>
          </w:tcPr>
          <w:p>
            <w:pPr>
              <w:widowControl/>
              <w:spacing w:before="100" w:beforeAutospacing="1" w:after="100" w:afterAutospacing="1"/>
              <w:ind w:left="-105"/>
              <w:jc w:val="center"/>
              <w:rPr>
                <w:rFonts w:hint="eastAsia" w:eastAsia="仿宋_GB2312"/>
                <w:sz w:val="24"/>
                <w:lang w:val="en-US" w:eastAsia="zh-CN"/>
              </w:rPr>
            </w:pPr>
            <w:r>
              <w:rPr>
                <w:rFonts w:hint="eastAsia" w:eastAsia="仿宋_GB2312"/>
                <w:sz w:val="24"/>
                <w:lang w:val="en-US" w:eastAsia="zh-CN"/>
              </w:rPr>
              <w:t>是</w:t>
            </w:r>
          </w:p>
        </w:tc>
        <w:tc>
          <w:tcPr>
            <w:tcW w:w="1970" w:type="dxa"/>
            <w:gridSpan w:val="7"/>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val="en-US" w:eastAsia="zh-CN"/>
              </w:rPr>
              <w:t>委托处置</w:t>
            </w:r>
          </w:p>
        </w:tc>
        <w:tc>
          <w:tcPr>
            <w:tcW w:w="2265" w:type="dxa"/>
            <w:gridSpan w:val="7"/>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val="en-US" w:eastAsia="zh-CN"/>
              </w:rPr>
              <w:t>0.1247</w:t>
            </w:r>
          </w:p>
        </w:tc>
        <w:tc>
          <w:tcPr>
            <w:tcW w:w="1713" w:type="dxa"/>
            <w:gridSpan w:val="4"/>
            <w:noWrap w:val="0"/>
            <w:vAlign w:val="center"/>
          </w:tcPr>
          <w:p>
            <w:pPr>
              <w:widowControl/>
              <w:spacing w:before="100" w:beforeAutospacing="1" w:after="100" w:afterAutospacing="1"/>
              <w:jc w:val="left"/>
              <w:rPr>
                <w:rFonts w:hint="default" w:eastAsia="仿宋_GB2312"/>
                <w:sz w:val="24"/>
                <w:lang w:val="en-US" w:eastAsia="zh-CN"/>
              </w:rPr>
            </w:pPr>
            <w:r>
              <w:rPr>
                <w:rFonts w:hint="eastAsia" w:eastAsia="仿宋_GB2312"/>
                <w:sz w:val="24"/>
                <w:lang w:val="en-US" w:eastAsia="zh-CN"/>
              </w:rPr>
              <w:t>河北风华环保服务有限公司</w:t>
            </w:r>
          </w:p>
        </w:tc>
        <w:tc>
          <w:tcPr>
            <w:tcW w:w="1696" w:type="dxa"/>
            <w:gridSpan w:val="3"/>
            <w:noWrap w:val="0"/>
            <w:vAlign w:val="center"/>
          </w:tcPr>
          <w:p>
            <w:pPr>
              <w:widowControl/>
              <w:spacing w:before="100" w:beforeAutospacing="1" w:after="100" w:afterAutospacing="1"/>
              <w:ind w:firstLine="720" w:firstLineChars="300"/>
              <w:jc w:val="left"/>
              <w:rPr>
                <w:rFonts w:hint="eastAsia" w:eastAsia="仿宋_GB2312"/>
                <w:sz w:val="24"/>
                <w:lang w:val="en-US" w:eastAsia="zh-CN"/>
              </w:rPr>
            </w:pPr>
            <w:r>
              <w:rPr>
                <w:rFonts w:hint="eastAsia" w:eastAsia="仿宋_GB2312"/>
                <w:sz w:val="24"/>
                <w:lang w:val="en-US" w:eastAsia="zh-CN"/>
              </w:rPr>
              <w:t>否</w:t>
            </w:r>
          </w:p>
        </w:tc>
        <w:tc>
          <w:tcPr>
            <w:tcW w:w="2000" w:type="dxa"/>
            <w:gridSpan w:val="4"/>
            <w:noWrap w:val="0"/>
            <w:vAlign w:val="center"/>
          </w:tcPr>
          <w:p>
            <w:pPr>
              <w:widowControl/>
              <w:spacing w:before="100" w:beforeAutospacing="1" w:after="100" w:afterAutospacing="1"/>
              <w:jc w:val="left"/>
              <w:rPr>
                <w:rFonts w:eastAsia="仿宋_GB2312"/>
                <w:sz w:val="24"/>
              </w:rPr>
            </w:pPr>
            <w:r>
              <w:rPr>
                <w:rFonts w:hint="eastAsia" w:eastAsia="仿宋_GB2312"/>
                <w:szCs w:val="21"/>
                <w:lang w:val="en-US" w:eastAsia="zh-CN"/>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86" w:type="dxa"/>
            <w:gridSpan w:val="3"/>
            <w:noWrap w:val="0"/>
            <w:vAlign w:val="center"/>
          </w:tcPr>
          <w:p>
            <w:pPr>
              <w:spacing w:line="50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废滤芯</w:t>
            </w:r>
          </w:p>
        </w:tc>
        <w:tc>
          <w:tcPr>
            <w:tcW w:w="1879" w:type="dxa"/>
            <w:gridSpan w:val="5"/>
            <w:noWrap w:val="0"/>
            <w:vAlign w:val="center"/>
          </w:tcPr>
          <w:p>
            <w:pPr>
              <w:spacing w:line="50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是</w:t>
            </w:r>
          </w:p>
        </w:tc>
        <w:tc>
          <w:tcPr>
            <w:tcW w:w="1970" w:type="dxa"/>
            <w:gridSpan w:val="7"/>
            <w:noWrap w:val="0"/>
            <w:vAlign w:val="center"/>
          </w:tcPr>
          <w:p>
            <w:pPr>
              <w:spacing w:line="500" w:lineRule="exact"/>
              <w:ind w:left="-105" w:leftChars="-50" w:right="-105" w:rightChars="-50"/>
              <w:jc w:val="center"/>
              <w:rPr>
                <w:rFonts w:eastAsia="仿宋_GB2312"/>
                <w:sz w:val="24"/>
              </w:rPr>
            </w:pPr>
            <w:r>
              <w:rPr>
                <w:rFonts w:hint="eastAsia" w:eastAsia="仿宋_GB2312"/>
                <w:sz w:val="24"/>
                <w:lang w:val="en-US" w:eastAsia="zh-CN"/>
              </w:rPr>
              <w:t>委托处置</w:t>
            </w:r>
          </w:p>
        </w:tc>
        <w:tc>
          <w:tcPr>
            <w:tcW w:w="2265" w:type="dxa"/>
            <w:gridSpan w:val="7"/>
            <w:noWrap w:val="0"/>
            <w:vAlign w:val="center"/>
          </w:tcPr>
          <w:p>
            <w:pPr>
              <w:spacing w:line="50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0.006</w:t>
            </w:r>
          </w:p>
        </w:tc>
        <w:tc>
          <w:tcPr>
            <w:tcW w:w="1713" w:type="dxa"/>
            <w:gridSpan w:val="4"/>
            <w:noWrap w:val="0"/>
            <w:vAlign w:val="center"/>
          </w:tcPr>
          <w:p>
            <w:pPr>
              <w:spacing w:line="500" w:lineRule="exact"/>
              <w:ind w:left="-105" w:leftChars="-50" w:right="-105" w:rightChars="-50"/>
              <w:jc w:val="center"/>
              <w:rPr>
                <w:rFonts w:eastAsia="仿宋_GB2312"/>
                <w:sz w:val="24"/>
              </w:rPr>
            </w:pPr>
            <w:r>
              <w:rPr>
                <w:rFonts w:hint="eastAsia" w:eastAsia="仿宋_GB2312"/>
                <w:sz w:val="24"/>
                <w:lang w:val="en-US" w:eastAsia="zh-CN"/>
              </w:rPr>
              <w:t>河北风华环保服务有限公司</w:t>
            </w:r>
          </w:p>
        </w:tc>
        <w:tc>
          <w:tcPr>
            <w:tcW w:w="1696" w:type="dxa"/>
            <w:gridSpan w:val="3"/>
            <w:noWrap w:val="0"/>
            <w:vAlign w:val="center"/>
          </w:tcPr>
          <w:p>
            <w:pPr>
              <w:spacing w:line="50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否</w:t>
            </w:r>
          </w:p>
        </w:tc>
        <w:tc>
          <w:tcPr>
            <w:tcW w:w="2000" w:type="dxa"/>
            <w:gridSpan w:val="4"/>
            <w:noWrap w:val="0"/>
            <w:vAlign w:val="center"/>
          </w:tcPr>
          <w:p>
            <w:pPr>
              <w:spacing w:line="500" w:lineRule="exact"/>
              <w:ind w:left="-105" w:leftChars="-50" w:right="-105" w:rightChars="-50"/>
              <w:jc w:val="center"/>
              <w:rPr>
                <w:rFonts w:eastAsia="仿宋_GB2312"/>
                <w:sz w:val="24"/>
              </w:rPr>
            </w:pPr>
            <w:r>
              <w:rPr>
                <w:rFonts w:hint="eastAsia" w:eastAsia="仿宋_GB2312"/>
                <w:szCs w:val="21"/>
                <w:lang w:val="en-US" w:eastAsia="zh-CN"/>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86" w:type="dxa"/>
            <w:gridSpan w:val="3"/>
            <w:noWrap w:val="0"/>
            <w:vAlign w:val="center"/>
          </w:tcPr>
          <w:p>
            <w:pPr>
              <w:spacing w:line="50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废活性炭</w:t>
            </w:r>
          </w:p>
        </w:tc>
        <w:tc>
          <w:tcPr>
            <w:tcW w:w="1879" w:type="dxa"/>
            <w:gridSpan w:val="5"/>
            <w:noWrap w:val="0"/>
            <w:vAlign w:val="center"/>
          </w:tcPr>
          <w:p>
            <w:pPr>
              <w:spacing w:line="50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是</w:t>
            </w:r>
          </w:p>
        </w:tc>
        <w:tc>
          <w:tcPr>
            <w:tcW w:w="1970" w:type="dxa"/>
            <w:gridSpan w:val="7"/>
            <w:noWrap w:val="0"/>
            <w:vAlign w:val="center"/>
          </w:tcPr>
          <w:p>
            <w:pPr>
              <w:spacing w:line="500" w:lineRule="exact"/>
              <w:ind w:left="-105" w:leftChars="-50" w:right="-105" w:rightChars="-50"/>
              <w:jc w:val="center"/>
              <w:rPr>
                <w:rFonts w:eastAsia="仿宋_GB2312"/>
                <w:sz w:val="24"/>
              </w:rPr>
            </w:pPr>
            <w:r>
              <w:rPr>
                <w:rFonts w:hint="eastAsia" w:eastAsia="仿宋_GB2312"/>
                <w:sz w:val="24"/>
                <w:lang w:val="en-US" w:eastAsia="zh-CN"/>
              </w:rPr>
              <w:t>委托处置</w:t>
            </w:r>
          </w:p>
        </w:tc>
        <w:tc>
          <w:tcPr>
            <w:tcW w:w="2265" w:type="dxa"/>
            <w:gridSpan w:val="7"/>
            <w:noWrap w:val="0"/>
            <w:vAlign w:val="center"/>
          </w:tcPr>
          <w:p>
            <w:pPr>
              <w:spacing w:line="50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0</w:t>
            </w:r>
          </w:p>
        </w:tc>
        <w:tc>
          <w:tcPr>
            <w:tcW w:w="1713" w:type="dxa"/>
            <w:gridSpan w:val="4"/>
            <w:noWrap w:val="0"/>
            <w:vAlign w:val="center"/>
          </w:tcPr>
          <w:p>
            <w:pPr>
              <w:spacing w:line="500" w:lineRule="exact"/>
              <w:ind w:left="-105" w:leftChars="-50" w:right="-105" w:rightChars="-50"/>
              <w:jc w:val="center"/>
              <w:rPr>
                <w:rFonts w:eastAsia="仿宋_GB2312"/>
                <w:sz w:val="24"/>
              </w:rPr>
            </w:pPr>
            <w:r>
              <w:rPr>
                <w:rFonts w:hint="eastAsia" w:eastAsia="仿宋_GB2312"/>
                <w:sz w:val="24"/>
                <w:lang w:val="en-US" w:eastAsia="zh-CN"/>
              </w:rPr>
              <w:t>河北风华环保服务有限公司</w:t>
            </w:r>
          </w:p>
        </w:tc>
        <w:tc>
          <w:tcPr>
            <w:tcW w:w="1696" w:type="dxa"/>
            <w:gridSpan w:val="3"/>
            <w:noWrap w:val="0"/>
            <w:vAlign w:val="center"/>
          </w:tcPr>
          <w:p>
            <w:pPr>
              <w:spacing w:line="50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否</w:t>
            </w:r>
          </w:p>
        </w:tc>
        <w:tc>
          <w:tcPr>
            <w:tcW w:w="2000" w:type="dxa"/>
            <w:gridSpan w:val="4"/>
            <w:noWrap w:val="0"/>
            <w:vAlign w:val="center"/>
          </w:tcPr>
          <w:p>
            <w:pPr>
              <w:spacing w:line="500" w:lineRule="exact"/>
              <w:ind w:left="-105" w:leftChars="-50" w:right="-105" w:rightChars="-50"/>
              <w:jc w:val="center"/>
              <w:rPr>
                <w:rFonts w:eastAsia="仿宋_GB2312"/>
                <w:sz w:val="24"/>
              </w:rPr>
            </w:pPr>
            <w:r>
              <w:rPr>
                <w:rFonts w:hint="eastAsia" w:eastAsia="仿宋_GB2312"/>
                <w:szCs w:val="21"/>
                <w:lang w:val="en-US" w:eastAsia="zh-CN"/>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86" w:type="dxa"/>
            <w:gridSpan w:val="3"/>
            <w:noWrap w:val="0"/>
            <w:vAlign w:val="center"/>
          </w:tcPr>
          <w:p>
            <w:pPr>
              <w:spacing w:line="50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废树脂</w:t>
            </w:r>
          </w:p>
        </w:tc>
        <w:tc>
          <w:tcPr>
            <w:tcW w:w="1879" w:type="dxa"/>
            <w:gridSpan w:val="5"/>
            <w:noWrap w:val="0"/>
            <w:vAlign w:val="center"/>
          </w:tcPr>
          <w:p>
            <w:pPr>
              <w:spacing w:line="50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是</w:t>
            </w:r>
          </w:p>
        </w:tc>
        <w:tc>
          <w:tcPr>
            <w:tcW w:w="1970" w:type="dxa"/>
            <w:gridSpan w:val="7"/>
            <w:noWrap w:val="0"/>
            <w:vAlign w:val="center"/>
          </w:tcPr>
          <w:p>
            <w:pPr>
              <w:spacing w:line="500" w:lineRule="exact"/>
              <w:ind w:left="-105" w:leftChars="-50" w:right="-105" w:rightChars="-50"/>
              <w:jc w:val="center"/>
              <w:rPr>
                <w:rFonts w:eastAsia="仿宋_GB2312"/>
                <w:sz w:val="24"/>
              </w:rPr>
            </w:pPr>
            <w:r>
              <w:rPr>
                <w:rFonts w:hint="eastAsia" w:eastAsia="仿宋_GB2312"/>
                <w:sz w:val="24"/>
                <w:lang w:val="en-US" w:eastAsia="zh-CN"/>
              </w:rPr>
              <w:t>委托处置</w:t>
            </w:r>
          </w:p>
        </w:tc>
        <w:tc>
          <w:tcPr>
            <w:tcW w:w="2265" w:type="dxa"/>
            <w:gridSpan w:val="7"/>
            <w:noWrap w:val="0"/>
            <w:vAlign w:val="center"/>
          </w:tcPr>
          <w:p>
            <w:pPr>
              <w:spacing w:line="50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0</w:t>
            </w:r>
          </w:p>
        </w:tc>
        <w:tc>
          <w:tcPr>
            <w:tcW w:w="1713" w:type="dxa"/>
            <w:gridSpan w:val="4"/>
            <w:noWrap w:val="0"/>
            <w:vAlign w:val="center"/>
          </w:tcPr>
          <w:p>
            <w:pPr>
              <w:spacing w:line="500" w:lineRule="exact"/>
              <w:ind w:left="-105" w:leftChars="-50" w:right="-105" w:rightChars="-50"/>
              <w:jc w:val="center"/>
              <w:rPr>
                <w:rFonts w:eastAsia="仿宋_GB2312"/>
                <w:sz w:val="24"/>
              </w:rPr>
            </w:pPr>
            <w:r>
              <w:rPr>
                <w:rFonts w:hint="eastAsia" w:eastAsia="仿宋_GB2312"/>
                <w:sz w:val="24"/>
                <w:lang w:val="en-US" w:eastAsia="zh-CN"/>
              </w:rPr>
              <w:t>河北风华环保服务有限公司</w:t>
            </w:r>
          </w:p>
        </w:tc>
        <w:tc>
          <w:tcPr>
            <w:tcW w:w="1696" w:type="dxa"/>
            <w:gridSpan w:val="3"/>
            <w:noWrap w:val="0"/>
            <w:vAlign w:val="center"/>
          </w:tcPr>
          <w:p>
            <w:pPr>
              <w:spacing w:line="50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否</w:t>
            </w:r>
          </w:p>
        </w:tc>
        <w:tc>
          <w:tcPr>
            <w:tcW w:w="2000" w:type="dxa"/>
            <w:gridSpan w:val="4"/>
            <w:noWrap w:val="0"/>
            <w:vAlign w:val="center"/>
          </w:tcPr>
          <w:p>
            <w:pPr>
              <w:spacing w:line="500" w:lineRule="exact"/>
              <w:ind w:left="-105" w:leftChars="-50" w:right="-105" w:rightChars="-50"/>
              <w:jc w:val="center"/>
              <w:rPr>
                <w:rFonts w:eastAsia="仿宋_GB2312"/>
                <w:sz w:val="24"/>
              </w:rPr>
            </w:pPr>
            <w:r>
              <w:rPr>
                <w:rFonts w:hint="eastAsia" w:eastAsia="仿宋_GB2312"/>
                <w:szCs w:val="21"/>
                <w:lang w:val="en-US" w:eastAsia="zh-CN"/>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86" w:type="dxa"/>
            <w:gridSpan w:val="3"/>
            <w:noWrap w:val="0"/>
            <w:vAlign w:val="center"/>
          </w:tcPr>
          <w:p>
            <w:pPr>
              <w:spacing w:line="50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废酸</w:t>
            </w:r>
          </w:p>
        </w:tc>
        <w:tc>
          <w:tcPr>
            <w:tcW w:w="1879" w:type="dxa"/>
            <w:gridSpan w:val="5"/>
            <w:noWrap w:val="0"/>
            <w:vAlign w:val="center"/>
          </w:tcPr>
          <w:p>
            <w:pPr>
              <w:spacing w:line="50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是</w:t>
            </w:r>
          </w:p>
        </w:tc>
        <w:tc>
          <w:tcPr>
            <w:tcW w:w="1970" w:type="dxa"/>
            <w:gridSpan w:val="7"/>
            <w:noWrap w:val="0"/>
            <w:vAlign w:val="center"/>
          </w:tcPr>
          <w:p>
            <w:pPr>
              <w:spacing w:line="500" w:lineRule="exact"/>
              <w:ind w:left="-105" w:leftChars="-50" w:right="-105" w:rightChars="-50"/>
              <w:jc w:val="center"/>
              <w:rPr>
                <w:rFonts w:eastAsia="仿宋_GB2312"/>
                <w:sz w:val="24"/>
              </w:rPr>
            </w:pPr>
            <w:r>
              <w:rPr>
                <w:rFonts w:hint="eastAsia" w:eastAsia="仿宋_GB2312"/>
                <w:sz w:val="24"/>
                <w:lang w:val="en-US" w:eastAsia="zh-CN"/>
              </w:rPr>
              <w:t>委托处置</w:t>
            </w:r>
          </w:p>
        </w:tc>
        <w:tc>
          <w:tcPr>
            <w:tcW w:w="2265" w:type="dxa"/>
            <w:gridSpan w:val="7"/>
            <w:noWrap w:val="0"/>
            <w:vAlign w:val="center"/>
          </w:tcPr>
          <w:p>
            <w:pPr>
              <w:spacing w:line="50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0.0442</w:t>
            </w:r>
          </w:p>
        </w:tc>
        <w:tc>
          <w:tcPr>
            <w:tcW w:w="1713" w:type="dxa"/>
            <w:gridSpan w:val="4"/>
            <w:noWrap w:val="0"/>
            <w:vAlign w:val="center"/>
          </w:tcPr>
          <w:p>
            <w:pPr>
              <w:spacing w:line="500" w:lineRule="exact"/>
              <w:ind w:left="-105" w:leftChars="-50" w:right="-105" w:rightChars="-50"/>
              <w:jc w:val="center"/>
              <w:rPr>
                <w:rFonts w:eastAsia="仿宋_GB2312"/>
                <w:sz w:val="24"/>
              </w:rPr>
            </w:pPr>
            <w:r>
              <w:rPr>
                <w:rFonts w:hint="eastAsia" w:eastAsia="仿宋_GB2312"/>
                <w:sz w:val="24"/>
                <w:lang w:val="en-US" w:eastAsia="zh-CN"/>
              </w:rPr>
              <w:t>河北风华环保服务有限公司</w:t>
            </w:r>
          </w:p>
        </w:tc>
        <w:tc>
          <w:tcPr>
            <w:tcW w:w="1696" w:type="dxa"/>
            <w:gridSpan w:val="3"/>
            <w:noWrap w:val="0"/>
            <w:vAlign w:val="center"/>
          </w:tcPr>
          <w:p>
            <w:pPr>
              <w:spacing w:line="50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否</w:t>
            </w:r>
          </w:p>
        </w:tc>
        <w:tc>
          <w:tcPr>
            <w:tcW w:w="2000" w:type="dxa"/>
            <w:gridSpan w:val="4"/>
            <w:noWrap w:val="0"/>
            <w:vAlign w:val="center"/>
          </w:tcPr>
          <w:p>
            <w:pPr>
              <w:spacing w:line="500" w:lineRule="exact"/>
              <w:ind w:left="-105" w:leftChars="-50" w:right="-105" w:rightChars="-50"/>
              <w:jc w:val="center"/>
              <w:rPr>
                <w:rFonts w:eastAsia="仿宋_GB2312"/>
                <w:sz w:val="24"/>
              </w:rPr>
            </w:pPr>
            <w:r>
              <w:rPr>
                <w:rFonts w:hint="eastAsia" w:eastAsia="仿宋_GB2312"/>
                <w:szCs w:val="21"/>
                <w:lang w:val="en-US" w:eastAsia="zh-CN"/>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86" w:type="dxa"/>
            <w:gridSpan w:val="3"/>
            <w:noWrap w:val="0"/>
            <w:vAlign w:val="center"/>
          </w:tcPr>
          <w:p>
            <w:pPr>
              <w:spacing w:line="50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循环塔废水</w:t>
            </w:r>
          </w:p>
        </w:tc>
        <w:tc>
          <w:tcPr>
            <w:tcW w:w="1879" w:type="dxa"/>
            <w:gridSpan w:val="5"/>
            <w:noWrap w:val="0"/>
            <w:vAlign w:val="center"/>
          </w:tcPr>
          <w:p>
            <w:pPr>
              <w:spacing w:line="50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是</w:t>
            </w:r>
          </w:p>
        </w:tc>
        <w:tc>
          <w:tcPr>
            <w:tcW w:w="1970" w:type="dxa"/>
            <w:gridSpan w:val="7"/>
            <w:noWrap w:val="0"/>
            <w:vAlign w:val="center"/>
          </w:tcPr>
          <w:p>
            <w:pPr>
              <w:spacing w:line="500" w:lineRule="exact"/>
              <w:ind w:left="-105" w:leftChars="-50" w:right="-105" w:rightChars="-50"/>
              <w:jc w:val="center"/>
              <w:rPr>
                <w:rFonts w:eastAsia="仿宋_GB2312"/>
                <w:sz w:val="24"/>
              </w:rPr>
            </w:pPr>
            <w:r>
              <w:rPr>
                <w:rFonts w:hint="eastAsia" w:eastAsia="仿宋_GB2312"/>
                <w:sz w:val="24"/>
                <w:lang w:val="en-US" w:eastAsia="zh-CN"/>
              </w:rPr>
              <w:t>委托处置</w:t>
            </w:r>
          </w:p>
        </w:tc>
        <w:tc>
          <w:tcPr>
            <w:tcW w:w="2265" w:type="dxa"/>
            <w:gridSpan w:val="7"/>
            <w:noWrap w:val="0"/>
            <w:vAlign w:val="center"/>
          </w:tcPr>
          <w:p>
            <w:pPr>
              <w:spacing w:line="50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0</w:t>
            </w:r>
          </w:p>
        </w:tc>
        <w:tc>
          <w:tcPr>
            <w:tcW w:w="1713" w:type="dxa"/>
            <w:gridSpan w:val="4"/>
            <w:noWrap w:val="0"/>
            <w:vAlign w:val="center"/>
          </w:tcPr>
          <w:p>
            <w:pPr>
              <w:spacing w:line="500" w:lineRule="exact"/>
              <w:ind w:left="-105" w:leftChars="-50" w:right="-105" w:rightChars="-50"/>
              <w:jc w:val="center"/>
              <w:rPr>
                <w:rFonts w:eastAsia="仿宋_GB2312"/>
                <w:sz w:val="24"/>
              </w:rPr>
            </w:pPr>
            <w:r>
              <w:rPr>
                <w:rFonts w:hint="eastAsia" w:eastAsia="仿宋_GB2312"/>
                <w:sz w:val="24"/>
                <w:lang w:val="en-US" w:eastAsia="zh-CN"/>
              </w:rPr>
              <w:t>河北风华环保服务有限公司</w:t>
            </w:r>
          </w:p>
        </w:tc>
        <w:tc>
          <w:tcPr>
            <w:tcW w:w="1696" w:type="dxa"/>
            <w:gridSpan w:val="3"/>
            <w:noWrap w:val="0"/>
            <w:vAlign w:val="center"/>
          </w:tcPr>
          <w:p>
            <w:pPr>
              <w:spacing w:line="50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否</w:t>
            </w:r>
          </w:p>
        </w:tc>
        <w:tc>
          <w:tcPr>
            <w:tcW w:w="2000" w:type="dxa"/>
            <w:gridSpan w:val="4"/>
            <w:noWrap w:val="0"/>
            <w:vAlign w:val="center"/>
          </w:tcPr>
          <w:p>
            <w:pPr>
              <w:spacing w:line="500" w:lineRule="exact"/>
              <w:ind w:left="-105" w:leftChars="-50" w:right="-105" w:rightChars="-50"/>
              <w:jc w:val="center"/>
              <w:rPr>
                <w:rFonts w:eastAsia="仿宋_GB2312"/>
                <w:sz w:val="24"/>
              </w:rPr>
            </w:pPr>
            <w:r>
              <w:rPr>
                <w:rFonts w:hint="eastAsia" w:eastAsia="仿宋_GB2312"/>
                <w:szCs w:val="21"/>
                <w:lang w:val="en-US" w:eastAsia="zh-CN"/>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13309" w:type="dxa"/>
            <w:gridSpan w:val="33"/>
            <w:noWrap w:val="0"/>
            <w:vAlign w:val="center"/>
          </w:tcPr>
          <w:p>
            <w:pPr>
              <w:spacing w:line="500" w:lineRule="exact"/>
              <w:jc w:val="center"/>
              <w:rPr>
                <w:rFonts w:eastAsia="仿宋_GB2312"/>
                <w:b/>
                <w:sz w:val="28"/>
                <w:szCs w:val="28"/>
              </w:rPr>
            </w:pPr>
            <w:r>
              <w:rPr>
                <w:rFonts w:hint="eastAsia" w:eastAsia="仿宋_GB2312"/>
                <w:b/>
                <w:sz w:val="28"/>
                <w:szCs w:val="28"/>
              </w:rPr>
              <w:t>噪声（</w:t>
            </w:r>
            <w:r>
              <w:rPr>
                <w:rFonts w:hint="eastAsia" w:eastAsia="仿宋_GB2312"/>
                <w:b/>
                <w:color w:val="000000"/>
                <w:sz w:val="28"/>
                <w:szCs w:val="28"/>
              </w:rPr>
              <w:t>周边有噪声敏感建筑物的单位应当公开，其他单位自愿公开）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6" w:type="dxa"/>
            <w:gridSpan w:val="3"/>
            <w:vMerge w:val="restart"/>
            <w:noWrap w:val="0"/>
            <w:vAlign w:val="center"/>
          </w:tcPr>
          <w:p>
            <w:pPr>
              <w:spacing w:line="500" w:lineRule="exact"/>
              <w:jc w:val="center"/>
              <w:rPr>
                <w:rFonts w:eastAsia="仿宋_GB2312"/>
                <w:color w:val="000000"/>
                <w:sz w:val="24"/>
              </w:rPr>
            </w:pPr>
            <w:r>
              <w:rPr>
                <w:rFonts w:hint="eastAsia" w:eastAsia="仿宋_GB2312"/>
                <w:color w:val="000000"/>
                <w:sz w:val="24"/>
              </w:rPr>
              <w:t>厂界位置</w:t>
            </w:r>
          </w:p>
        </w:tc>
        <w:tc>
          <w:tcPr>
            <w:tcW w:w="3812" w:type="dxa"/>
            <w:gridSpan w:val="11"/>
            <w:noWrap w:val="0"/>
            <w:vAlign w:val="center"/>
          </w:tcPr>
          <w:p>
            <w:pPr>
              <w:spacing w:line="500" w:lineRule="exact"/>
              <w:jc w:val="center"/>
              <w:rPr>
                <w:rFonts w:eastAsia="仿宋_GB2312"/>
                <w:color w:val="000000"/>
                <w:sz w:val="24"/>
              </w:rPr>
            </w:pPr>
            <w:r>
              <w:rPr>
                <w:rFonts w:hint="eastAsia" w:eastAsia="仿宋_GB2312"/>
                <w:color w:val="000000"/>
                <w:sz w:val="24"/>
              </w:rPr>
              <w:t>噪声值（</w:t>
            </w:r>
            <w:r>
              <w:rPr>
                <w:rFonts w:eastAsia="仿宋_GB2312"/>
                <w:color w:val="000000"/>
                <w:sz w:val="24"/>
              </w:rPr>
              <w:t>dB</w:t>
            </w:r>
            <w:r>
              <w:rPr>
                <w:rFonts w:hint="eastAsia" w:eastAsia="仿宋_GB2312"/>
                <w:color w:val="000000"/>
                <w:sz w:val="24"/>
              </w:rPr>
              <w:t>）</w:t>
            </w:r>
          </w:p>
        </w:tc>
        <w:tc>
          <w:tcPr>
            <w:tcW w:w="2308" w:type="dxa"/>
            <w:gridSpan w:val="9"/>
            <w:noWrap w:val="0"/>
            <w:vAlign w:val="center"/>
          </w:tcPr>
          <w:p>
            <w:pPr>
              <w:spacing w:line="500" w:lineRule="exact"/>
              <w:jc w:val="center"/>
              <w:rPr>
                <w:rFonts w:eastAsia="仿宋_GB2312"/>
                <w:color w:val="000000"/>
                <w:sz w:val="24"/>
              </w:rPr>
            </w:pPr>
            <w:r>
              <w:rPr>
                <w:rFonts w:hint="eastAsia" w:eastAsia="仿宋_GB2312"/>
                <w:color w:val="000000"/>
                <w:sz w:val="24"/>
              </w:rPr>
              <w:t>执行的厂界噪声排放标准限值（</w:t>
            </w:r>
            <w:r>
              <w:rPr>
                <w:rFonts w:eastAsia="仿宋_GB2312"/>
                <w:color w:val="000000"/>
                <w:sz w:val="24"/>
              </w:rPr>
              <w:t>dB</w:t>
            </w:r>
            <w:r>
              <w:rPr>
                <w:rFonts w:hint="eastAsia" w:eastAsia="仿宋_GB2312"/>
                <w:color w:val="000000"/>
                <w:sz w:val="24"/>
              </w:rPr>
              <w:t>）</w:t>
            </w:r>
          </w:p>
        </w:tc>
        <w:tc>
          <w:tcPr>
            <w:tcW w:w="1707" w:type="dxa"/>
            <w:gridSpan w:val="3"/>
            <w:vMerge w:val="restart"/>
            <w:noWrap w:val="0"/>
            <w:vAlign w:val="center"/>
          </w:tcPr>
          <w:p>
            <w:pPr>
              <w:spacing w:line="500" w:lineRule="exact"/>
              <w:jc w:val="center"/>
              <w:rPr>
                <w:rFonts w:eastAsia="仿宋_GB2312"/>
                <w:color w:val="000000"/>
                <w:sz w:val="24"/>
              </w:rPr>
            </w:pPr>
            <w:r>
              <w:rPr>
                <w:rFonts w:hint="eastAsia" w:eastAsia="仿宋_GB2312"/>
                <w:color w:val="000000"/>
                <w:sz w:val="24"/>
              </w:rPr>
              <w:t>超标</w:t>
            </w:r>
          </w:p>
          <w:p>
            <w:pPr>
              <w:spacing w:line="500" w:lineRule="exact"/>
              <w:jc w:val="center"/>
              <w:rPr>
                <w:rFonts w:eastAsia="仿宋_GB2312"/>
                <w:color w:val="000000"/>
                <w:sz w:val="24"/>
              </w:rPr>
            </w:pPr>
            <w:r>
              <w:rPr>
                <w:rFonts w:hint="eastAsia" w:eastAsia="仿宋_GB2312"/>
                <w:color w:val="000000"/>
                <w:sz w:val="24"/>
              </w:rPr>
              <w:t>情况</w:t>
            </w:r>
          </w:p>
        </w:tc>
        <w:tc>
          <w:tcPr>
            <w:tcW w:w="1696" w:type="dxa"/>
            <w:gridSpan w:val="3"/>
            <w:vMerge w:val="restart"/>
            <w:noWrap w:val="0"/>
            <w:vAlign w:val="center"/>
          </w:tcPr>
          <w:p>
            <w:pPr>
              <w:spacing w:line="500" w:lineRule="exact"/>
              <w:jc w:val="center"/>
              <w:rPr>
                <w:rFonts w:eastAsia="仿宋_GB2312"/>
                <w:color w:val="000000"/>
                <w:sz w:val="24"/>
              </w:rPr>
            </w:pPr>
            <w:r>
              <w:rPr>
                <w:rFonts w:hint="eastAsia" w:eastAsia="仿宋_GB2312"/>
                <w:color w:val="000000"/>
                <w:sz w:val="24"/>
              </w:rPr>
              <w:t>是否需要缴纳排污费（税）</w:t>
            </w:r>
          </w:p>
        </w:tc>
        <w:tc>
          <w:tcPr>
            <w:tcW w:w="2000" w:type="dxa"/>
            <w:gridSpan w:val="4"/>
            <w:vMerge w:val="restart"/>
            <w:noWrap w:val="0"/>
            <w:vAlign w:val="center"/>
          </w:tcPr>
          <w:p>
            <w:pPr>
              <w:spacing w:line="500" w:lineRule="exact"/>
              <w:jc w:val="center"/>
              <w:rPr>
                <w:rFonts w:eastAsia="仿宋_GB2312"/>
                <w:color w:val="000000"/>
                <w:sz w:val="24"/>
              </w:rPr>
            </w:pPr>
            <w:r>
              <w:rPr>
                <w:rFonts w:hint="eastAsia" w:eastAsia="仿宋_GB2312"/>
                <w:color w:val="000000"/>
                <w:sz w:val="24"/>
              </w:rPr>
              <w:t>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6" w:type="dxa"/>
            <w:gridSpan w:val="3"/>
            <w:vMerge w:val="continue"/>
            <w:noWrap w:val="0"/>
            <w:vAlign w:val="center"/>
          </w:tcPr>
          <w:p>
            <w:pPr>
              <w:widowControl/>
              <w:jc w:val="left"/>
              <w:rPr>
                <w:rFonts w:eastAsia="仿宋_GB2312"/>
                <w:color w:val="000000"/>
                <w:sz w:val="24"/>
              </w:rPr>
            </w:pPr>
          </w:p>
        </w:tc>
        <w:tc>
          <w:tcPr>
            <w:tcW w:w="1928" w:type="dxa"/>
            <w:gridSpan w:val="6"/>
            <w:noWrap w:val="0"/>
            <w:vAlign w:val="center"/>
          </w:tcPr>
          <w:p>
            <w:pPr>
              <w:spacing w:line="500" w:lineRule="exact"/>
              <w:jc w:val="center"/>
              <w:rPr>
                <w:rFonts w:eastAsia="仿宋_GB2312"/>
                <w:color w:val="000000"/>
                <w:sz w:val="24"/>
              </w:rPr>
            </w:pPr>
            <w:r>
              <w:rPr>
                <w:rFonts w:hint="eastAsia" w:eastAsia="仿宋_GB2312"/>
                <w:color w:val="000000"/>
                <w:sz w:val="24"/>
              </w:rPr>
              <w:t>昼间</w:t>
            </w:r>
          </w:p>
        </w:tc>
        <w:tc>
          <w:tcPr>
            <w:tcW w:w="1884" w:type="dxa"/>
            <w:gridSpan w:val="5"/>
            <w:noWrap w:val="0"/>
            <w:vAlign w:val="center"/>
          </w:tcPr>
          <w:p>
            <w:pPr>
              <w:spacing w:line="500" w:lineRule="exact"/>
              <w:jc w:val="center"/>
              <w:rPr>
                <w:rFonts w:eastAsia="仿宋_GB2312"/>
                <w:color w:val="000000"/>
                <w:sz w:val="24"/>
              </w:rPr>
            </w:pPr>
            <w:r>
              <w:rPr>
                <w:rFonts w:hint="eastAsia" w:eastAsia="仿宋_GB2312"/>
                <w:color w:val="000000"/>
                <w:sz w:val="24"/>
              </w:rPr>
              <w:t>夜间</w:t>
            </w:r>
          </w:p>
        </w:tc>
        <w:tc>
          <w:tcPr>
            <w:tcW w:w="1217" w:type="dxa"/>
            <w:gridSpan w:val="5"/>
            <w:noWrap w:val="0"/>
            <w:vAlign w:val="center"/>
          </w:tcPr>
          <w:p>
            <w:pPr>
              <w:spacing w:line="500" w:lineRule="exact"/>
              <w:jc w:val="center"/>
              <w:rPr>
                <w:rFonts w:eastAsia="仿宋_GB2312"/>
                <w:color w:val="000000"/>
                <w:sz w:val="24"/>
              </w:rPr>
            </w:pPr>
            <w:r>
              <w:rPr>
                <w:rFonts w:hint="eastAsia" w:eastAsia="仿宋_GB2312"/>
                <w:color w:val="000000"/>
                <w:sz w:val="24"/>
              </w:rPr>
              <w:t>昼间</w:t>
            </w:r>
          </w:p>
        </w:tc>
        <w:tc>
          <w:tcPr>
            <w:tcW w:w="1091" w:type="dxa"/>
            <w:gridSpan w:val="4"/>
            <w:noWrap w:val="0"/>
            <w:vAlign w:val="center"/>
          </w:tcPr>
          <w:p>
            <w:pPr>
              <w:spacing w:line="500" w:lineRule="exact"/>
              <w:jc w:val="center"/>
              <w:rPr>
                <w:rFonts w:eastAsia="仿宋_GB2312"/>
                <w:color w:val="000000"/>
                <w:sz w:val="24"/>
              </w:rPr>
            </w:pPr>
            <w:r>
              <w:rPr>
                <w:rFonts w:hint="eastAsia" w:eastAsia="仿宋_GB2312"/>
                <w:color w:val="000000"/>
                <w:sz w:val="24"/>
              </w:rPr>
              <w:t>夜间</w:t>
            </w:r>
          </w:p>
        </w:tc>
        <w:tc>
          <w:tcPr>
            <w:tcW w:w="1707" w:type="dxa"/>
            <w:gridSpan w:val="3"/>
            <w:vMerge w:val="continue"/>
            <w:noWrap w:val="0"/>
            <w:vAlign w:val="center"/>
          </w:tcPr>
          <w:p>
            <w:pPr>
              <w:widowControl/>
              <w:jc w:val="left"/>
              <w:rPr>
                <w:rFonts w:eastAsia="仿宋_GB2312"/>
                <w:color w:val="000000"/>
                <w:sz w:val="24"/>
              </w:rPr>
            </w:pPr>
          </w:p>
        </w:tc>
        <w:tc>
          <w:tcPr>
            <w:tcW w:w="1696" w:type="dxa"/>
            <w:gridSpan w:val="3"/>
            <w:vMerge w:val="continue"/>
            <w:noWrap w:val="0"/>
            <w:vAlign w:val="center"/>
          </w:tcPr>
          <w:p>
            <w:pPr>
              <w:widowControl/>
              <w:jc w:val="left"/>
              <w:rPr>
                <w:rFonts w:eastAsia="仿宋_GB2312"/>
                <w:color w:val="000000"/>
                <w:sz w:val="24"/>
              </w:rPr>
            </w:pPr>
          </w:p>
        </w:tc>
        <w:tc>
          <w:tcPr>
            <w:tcW w:w="2000" w:type="dxa"/>
            <w:gridSpan w:val="4"/>
            <w:vMerge w:val="continue"/>
            <w:noWrap w:val="0"/>
            <w:vAlign w:val="center"/>
          </w:tcPr>
          <w:p>
            <w:pPr>
              <w:widowControl/>
              <w:jc w:val="lef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786" w:type="dxa"/>
            <w:gridSpan w:val="3"/>
            <w:noWrap w:val="0"/>
            <w:vAlign w:val="center"/>
          </w:tcPr>
          <w:p>
            <w:pPr>
              <w:spacing w:line="500" w:lineRule="exact"/>
              <w:jc w:val="center"/>
              <w:rPr>
                <w:rFonts w:hint="eastAsia" w:eastAsia="仿宋_GB2312"/>
                <w:color w:val="000000"/>
                <w:sz w:val="24"/>
              </w:rPr>
            </w:pPr>
            <w:bookmarkStart w:id="69" w:name="_GoBack" w:colFirst="10" w:colLast="12"/>
            <w:r>
              <w:rPr>
                <w:rFonts w:hint="eastAsia" w:eastAsia="仿宋_GB2312"/>
                <w:color w:val="000000"/>
                <w:sz w:val="24"/>
              </w:rPr>
              <w:t> 东</w:t>
            </w:r>
          </w:p>
        </w:tc>
        <w:tc>
          <w:tcPr>
            <w:tcW w:w="1928" w:type="dxa"/>
            <w:gridSpan w:val="6"/>
            <w:noWrap w:val="0"/>
            <w:vAlign w:val="center"/>
          </w:tcPr>
          <w:p>
            <w:pPr>
              <w:spacing w:line="500" w:lineRule="exact"/>
              <w:jc w:val="center"/>
              <w:rPr>
                <w:rFonts w:hint="default" w:eastAsia="仿宋_GB2312"/>
                <w:color w:val="000000"/>
                <w:sz w:val="24"/>
                <w:lang w:val="en-US" w:eastAsia="zh-CN"/>
              </w:rPr>
            </w:pPr>
            <w:r>
              <w:rPr>
                <w:rFonts w:hint="eastAsia" w:eastAsia="仿宋_GB2312"/>
                <w:color w:val="000000"/>
                <w:sz w:val="24"/>
                <w:lang w:val="en-US" w:eastAsia="zh-CN"/>
              </w:rPr>
              <w:t>56.4</w:t>
            </w:r>
          </w:p>
        </w:tc>
        <w:tc>
          <w:tcPr>
            <w:tcW w:w="1884" w:type="dxa"/>
            <w:gridSpan w:val="5"/>
            <w:noWrap w:val="0"/>
            <w:vAlign w:val="center"/>
          </w:tcPr>
          <w:p>
            <w:pPr>
              <w:spacing w:line="500" w:lineRule="exact"/>
              <w:jc w:val="center"/>
              <w:rPr>
                <w:rFonts w:hint="eastAsia" w:eastAsia="仿宋_GB2312"/>
                <w:color w:val="000000"/>
                <w:sz w:val="24"/>
                <w:lang w:val="en-US" w:eastAsia="zh-CN"/>
              </w:rPr>
            </w:pPr>
            <w:r>
              <w:rPr>
                <w:rFonts w:hint="eastAsia" w:eastAsia="仿宋_GB2312"/>
                <w:color w:val="000000"/>
                <w:sz w:val="24"/>
              </w:rPr>
              <w:t> </w:t>
            </w:r>
            <w:r>
              <w:rPr>
                <w:rFonts w:hint="eastAsia" w:eastAsia="仿宋_GB2312"/>
                <w:color w:val="000000"/>
                <w:sz w:val="24"/>
                <w:lang w:val="en-US" w:eastAsia="zh-CN"/>
              </w:rPr>
              <w:t>/</w:t>
            </w:r>
          </w:p>
        </w:tc>
        <w:tc>
          <w:tcPr>
            <w:tcW w:w="1217" w:type="dxa"/>
            <w:gridSpan w:val="5"/>
            <w:noWrap w:val="0"/>
            <w:vAlign w:val="center"/>
          </w:tcPr>
          <w:p>
            <w:pPr>
              <w:spacing w:line="500" w:lineRule="exact"/>
              <w:jc w:val="center"/>
              <w:rPr>
                <w:rFonts w:hint="eastAsia" w:eastAsia="仿宋_GB2312"/>
                <w:color w:val="000000"/>
                <w:sz w:val="24"/>
              </w:rPr>
            </w:pPr>
            <w:r>
              <w:rPr>
                <w:rFonts w:hint="eastAsia" w:eastAsia="仿宋_GB2312"/>
                <w:color w:val="000000"/>
                <w:sz w:val="24"/>
                <w:lang w:val="en-US" w:eastAsia="zh-CN"/>
              </w:rPr>
              <w:t>65</w:t>
            </w:r>
          </w:p>
        </w:tc>
        <w:tc>
          <w:tcPr>
            <w:tcW w:w="1091" w:type="dxa"/>
            <w:gridSpan w:val="4"/>
            <w:noWrap w:val="0"/>
            <w:vAlign w:val="center"/>
          </w:tcPr>
          <w:p>
            <w:pPr>
              <w:spacing w:line="500" w:lineRule="exact"/>
              <w:jc w:val="center"/>
              <w:rPr>
                <w:rFonts w:hint="eastAsia" w:eastAsia="仿宋_GB2312"/>
                <w:color w:val="000000"/>
                <w:sz w:val="24"/>
                <w:lang w:val="en-US" w:eastAsia="zh-CN"/>
              </w:rPr>
            </w:pPr>
            <w:r>
              <w:rPr>
                <w:rFonts w:hint="eastAsia" w:eastAsia="仿宋_GB2312"/>
                <w:color w:val="000000"/>
                <w:sz w:val="24"/>
                <w:lang w:val="en-US" w:eastAsia="zh-CN"/>
              </w:rPr>
              <w:t>/</w:t>
            </w:r>
          </w:p>
        </w:tc>
        <w:tc>
          <w:tcPr>
            <w:tcW w:w="1707" w:type="dxa"/>
            <w:gridSpan w:val="3"/>
            <w:noWrap w:val="0"/>
            <w:vAlign w:val="center"/>
          </w:tcPr>
          <w:p>
            <w:pPr>
              <w:spacing w:line="500" w:lineRule="exact"/>
              <w:jc w:val="center"/>
              <w:rPr>
                <w:rFonts w:hint="eastAsia" w:eastAsia="仿宋_GB2312"/>
                <w:color w:val="000000"/>
                <w:sz w:val="24"/>
                <w:lang w:val="en-US" w:eastAsia="zh-CN"/>
              </w:rPr>
            </w:pPr>
            <w:r>
              <w:rPr>
                <w:rFonts w:hint="eastAsia" w:eastAsia="仿宋_GB2312"/>
                <w:color w:val="000000"/>
                <w:sz w:val="24"/>
              </w:rPr>
              <w:t> </w:t>
            </w:r>
            <w:r>
              <w:rPr>
                <w:rFonts w:hint="eastAsia" w:eastAsia="仿宋_GB2312"/>
                <w:color w:val="000000"/>
                <w:sz w:val="24"/>
                <w:lang w:val="en-US" w:eastAsia="zh-CN"/>
              </w:rPr>
              <w:t>否</w:t>
            </w:r>
          </w:p>
        </w:tc>
        <w:tc>
          <w:tcPr>
            <w:tcW w:w="1696" w:type="dxa"/>
            <w:gridSpan w:val="3"/>
            <w:noWrap w:val="0"/>
            <w:vAlign w:val="center"/>
          </w:tcPr>
          <w:p>
            <w:pPr>
              <w:spacing w:line="500" w:lineRule="exact"/>
              <w:jc w:val="center"/>
              <w:rPr>
                <w:rFonts w:hint="eastAsia" w:eastAsia="仿宋_GB2312"/>
                <w:color w:val="000000"/>
                <w:sz w:val="24"/>
                <w:lang w:val="en-US" w:eastAsia="zh-CN"/>
              </w:rPr>
            </w:pPr>
            <w:r>
              <w:rPr>
                <w:rFonts w:hint="eastAsia" w:eastAsia="仿宋_GB2312"/>
                <w:color w:val="000000"/>
                <w:sz w:val="24"/>
                <w:lang w:val="en-US" w:eastAsia="zh-CN"/>
              </w:rPr>
              <w:t>否</w:t>
            </w:r>
          </w:p>
        </w:tc>
        <w:tc>
          <w:tcPr>
            <w:tcW w:w="2000" w:type="dxa"/>
            <w:gridSpan w:val="4"/>
            <w:noWrap w:val="0"/>
            <w:vAlign w:val="center"/>
          </w:tcPr>
          <w:p>
            <w:pPr>
              <w:spacing w:line="500" w:lineRule="exact"/>
              <w:jc w:val="center"/>
              <w:rPr>
                <w:rFonts w:hint="eastAsia" w:eastAsia="仿宋_GB2312"/>
                <w:color w:val="000000"/>
                <w:sz w:val="24"/>
              </w:rPr>
            </w:pPr>
            <w:r>
              <w:rPr>
                <w:rFonts w:hint="eastAsia" w:eastAsia="仿宋_GB2312"/>
                <w:szCs w:val="21"/>
                <w:lang w:val="en-US" w:eastAsia="zh-CN"/>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786" w:type="dxa"/>
            <w:gridSpan w:val="3"/>
            <w:noWrap w:val="0"/>
            <w:vAlign w:val="center"/>
          </w:tcPr>
          <w:p>
            <w:pPr>
              <w:spacing w:line="500" w:lineRule="exact"/>
              <w:jc w:val="center"/>
              <w:rPr>
                <w:rFonts w:hint="eastAsia" w:eastAsia="仿宋_GB2312"/>
                <w:color w:val="000000"/>
                <w:sz w:val="24"/>
              </w:rPr>
            </w:pPr>
            <w:r>
              <w:rPr>
                <w:rFonts w:hint="eastAsia" w:eastAsia="仿宋_GB2312"/>
                <w:color w:val="000000"/>
                <w:sz w:val="24"/>
              </w:rPr>
              <w:t> 南</w:t>
            </w:r>
          </w:p>
        </w:tc>
        <w:tc>
          <w:tcPr>
            <w:tcW w:w="1928" w:type="dxa"/>
            <w:gridSpan w:val="6"/>
            <w:noWrap w:val="0"/>
            <w:vAlign w:val="center"/>
          </w:tcPr>
          <w:p>
            <w:pPr>
              <w:spacing w:line="500" w:lineRule="exact"/>
              <w:jc w:val="center"/>
              <w:rPr>
                <w:rFonts w:hint="default" w:eastAsia="仿宋_GB2312"/>
                <w:color w:val="000000"/>
                <w:sz w:val="24"/>
                <w:lang w:val="en-US" w:eastAsia="zh-CN"/>
              </w:rPr>
            </w:pPr>
            <w:r>
              <w:rPr>
                <w:rFonts w:hint="eastAsia" w:eastAsia="仿宋_GB2312"/>
                <w:color w:val="000000"/>
                <w:sz w:val="24"/>
                <w:lang w:val="en-US" w:eastAsia="zh-CN"/>
              </w:rPr>
              <w:t>56.3</w:t>
            </w:r>
          </w:p>
        </w:tc>
        <w:tc>
          <w:tcPr>
            <w:tcW w:w="1884" w:type="dxa"/>
            <w:gridSpan w:val="5"/>
            <w:noWrap w:val="0"/>
            <w:vAlign w:val="center"/>
          </w:tcPr>
          <w:p>
            <w:pPr>
              <w:spacing w:line="500" w:lineRule="exact"/>
              <w:jc w:val="center"/>
              <w:rPr>
                <w:rFonts w:hint="eastAsia" w:eastAsia="仿宋_GB2312"/>
                <w:color w:val="000000"/>
                <w:sz w:val="24"/>
                <w:lang w:val="en-US" w:eastAsia="zh-CN"/>
              </w:rPr>
            </w:pPr>
            <w:r>
              <w:rPr>
                <w:rFonts w:hint="eastAsia" w:eastAsia="仿宋_GB2312"/>
                <w:color w:val="000000"/>
                <w:sz w:val="24"/>
              </w:rPr>
              <w:t> </w:t>
            </w:r>
            <w:r>
              <w:rPr>
                <w:rFonts w:hint="eastAsia" w:eastAsia="仿宋_GB2312"/>
                <w:color w:val="000000"/>
                <w:sz w:val="24"/>
                <w:lang w:val="en-US" w:eastAsia="zh-CN"/>
              </w:rPr>
              <w:t>/</w:t>
            </w:r>
          </w:p>
        </w:tc>
        <w:tc>
          <w:tcPr>
            <w:tcW w:w="1217" w:type="dxa"/>
            <w:gridSpan w:val="5"/>
            <w:noWrap w:val="0"/>
            <w:vAlign w:val="center"/>
          </w:tcPr>
          <w:p>
            <w:pPr>
              <w:spacing w:line="500" w:lineRule="exact"/>
              <w:jc w:val="center"/>
              <w:rPr>
                <w:rFonts w:hint="eastAsia" w:eastAsia="仿宋_GB2312"/>
                <w:color w:val="000000"/>
                <w:sz w:val="24"/>
              </w:rPr>
            </w:pPr>
            <w:r>
              <w:rPr>
                <w:rFonts w:hint="eastAsia" w:eastAsia="仿宋_GB2312"/>
                <w:color w:val="000000"/>
                <w:sz w:val="24"/>
                <w:lang w:val="en-US" w:eastAsia="zh-CN"/>
              </w:rPr>
              <w:t>65</w:t>
            </w:r>
          </w:p>
        </w:tc>
        <w:tc>
          <w:tcPr>
            <w:tcW w:w="1091" w:type="dxa"/>
            <w:gridSpan w:val="4"/>
            <w:noWrap w:val="0"/>
            <w:vAlign w:val="center"/>
          </w:tcPr>
          <w:p>
            <w:pPr>
              <w:spacing w:line="500" w:lineRule="exact"/>
              <w:jc w:val="center"/>
              <w:rPr>
                <w:rFonts w:hint="eastAsia" w:eastAsia="仿宋_GB2312"/>
                <w:color w:val="000000"/>
                <w:sz w:val="24"/>
                <w:lang w:val="en-US" w:eastAsia="zh-CN"/>
              </w:rPr>
            </w:pPr>
            <w:r>
              <w:rPr>
                <w:rFonts w:hint="eastAsia" w:eastAsia="仿宋_GB2312"/>
                <w:color w:val="000000"/>
                <w:sz w:val="24"/>
                <w:lang w:val="en-US" w:eastAsia="zh-CN"/>
              </w:rPr>
              <w:t>/</w:t>
            </w:r>
          </w:p>
        </w:tc>
        <w:tc>
          <w:tcPr>
            <w:tcW w:w="1707" w:type="dxa"/>
            <w:gridSpan w:val="3"/>
            <w:noWrap w:val="0"/>
            <w:vAlign w:val="center"/>
          </w:tcPr>
          <w:p>
            <w:pPr>
              <w:spacing w:line="500" w:lineRule="exact"/>
              <w:jc w:val="center"/>
              <w:rPr>
                <w:rFonts w:hint="eastAsia" w:eastAsia="仿宋_GB2312"/>
                <w:color w:val="000000"/>
                <w:sz w:val="24"/>
                <w:lang w:val="en-US" w:eastAsia="zh-CN"/>
              </w:rPr>
            </w:pPr>
            <w:r>
              <w:rPr>
                <w:rFonts w:hint="eastAsia" w:eastAsia="仿宋_GB2312"/>
                <w:color w:val="000000"/>
                <w:sz w:val="24"/>
              </w:rPr>
              <w:t> </w:t>
            </w:r>
            <w:r>
              <w:rPr>
                <w:rFonts w:hint="eastAsia" w:eastAsia="仿宋_GB2312"/>
                <w:color w:val="000000"/>
                <w:sz w:val="24"/>
                <w:lang w:val="en-US" w:eastAsia="zh-CN"/>
              </w:rPr>
              <w:t>否</w:t>
            </w:r>
          </w:p>
        </w:tc>
        <w:tc>
          <w:tcPr>
            <w:tcW w:w="1696" w:type="dxa"/>
            <w:gridSpan w:val="3"/>
            <w:noWrap w:val="0"/>
            <w:vAlign w:val="center"/>
          </w:tcPr>
          <w:p>
            <w:pPr>
              <w:spacing w:line="500" w:lineRule="exact"/>
              <w:jc w:val="center"/>
              <w:rPr>
                <w:rFonts w:hint="eastAsia" w:eastAsia="仿宋_GB2312"/>
                <w:color w:val="000000"/>
                <w:sz w:val="24"/>
                <w:lang w:val="en-US" w:eastAsia="zh-CN"/>
              </w:rPr>
            </w:pPr>
            <w:r>
              <w:rPr>
                <w:rFonts w:hint="eastAsia" w:eastAsia="仿宋_GB2312"/>
                <w:color w:val="000000"/>
                <w:sz w:val="24"/>
                <w:lang w:val="en-US" w:eastAsia="zh-CN"/>
              </w:rPr>
              <w:t>否</w:t>
            </w:r>
          </w:p>
        </w:tc>
        <w:tc>
          <w:tcPr>
            <w:tcW w:w="2000" w:type="dxa"/>
            <w:gridSpan w:val="4"/>
            <w:noWrap w:val="0"/>
            <w:vAlign w:val="center"/>
          </w:tcPr>
          <w:p>
            <w:pPr>
              <w:spacing w:line="500" w:lineRule="exact"/>
              <w:jc w:val="center"/>
              <w:rPr>
                <w:rFonts w:hint="eastAsia" w:eastAsia="仿宋_GB2312"/>
                <w:color w:val="000000"/>
                <w:sz w:val="24"/>
              </w:rPr>
            </w:pPr>
            <w:r>
              <w:rPr>
                <w:rFonts w:hint="eastAsia" w:eastAsia="仿宋_GB2312"/>
                <w:szCs w:val="21"/>
                <w:lang w:val="en-US" w:eastAsia="zh-CN"/>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786" w:type="dxa"/>
            <w:gridSpan w:val="3"/>
            <w:noWrap w:val="0"/>
            <w:vAlign w:val="center"/>
          </w:tcPr>
          <w:p>
            <w:pPr>
              <w:spacing w:line="500" w:lineRule="exact"/>
              <w:jc w:val="center"/>
              <w:rPr>
                <w:rFonts w:hint="eastAsia" w:eastAsia="仿宋_GB2312"/>
                <w:color w:val="000000"/>
                <w:sz w:val="24"/>
              </w:rPr>
            </w:pPr>
            <w:r>
              <w:rPr>
                <w:rFonts w:hint="eastAsia" w:eastAsia="仿宋_GB2312"/>
                <w:color w:val="000000"/>
                <w:sz w:val="24"/>
              </w:rPr>
              <w:t> 西</w:t>
            </w:r>
          </w:p>
        </w:tc>
        <w:tc>
          <w:tcPr>
            <w:tcW w:w="1928" w:type="dxa"/>
            <w:gridSpan w:val="6"/>
            <w:noWrap w:val="0"/>
            <w:vAlign w:val="center"/>
          </w:tcPr>
          <w:p>
            <w:pPr>
              <w:spacing w:line="500" w:lineRule="exact"/>
              <w:jc w:val="center"/>
              <w:rPr>
                <w:rFonts w:hint="default" w:eastAsia="仿宋_GB2312"/>
                <w:color w:val="000000"/>
                <w:sz w:val="24"/>
                <w:lang w:val="en-US" w:eastAsia="zh-CN"/>
              </w:rPr>
            </w:pPr>
            <w:r>
              <w:rPr>
                <w:rFonts w:hint="eastAsia" w:eastAsia="仿宋_GB2312"/>
                <w:color w:val="000000"/>
                <w:sz w:val="24"/>
              </w:rPr>
              <w:t> </w:t>
            </w:r>
            <w:r>
              <w:rPr>
                <w:rFonts w:hint="eastAsia" w:eastAsia="仿宋_GB2312"/>
                <w:color w:val="000000"/>
                <w:sz w:val="24"/>
                <w:lang w:val="en-US" w:eastAsia="zh-CN"/>
              </w:rPr>
              <w:t>57.0</w:t>
            </w:r>
          </w:p>
        </w:tc>
        <w:tc>
          <w:tcPr>
            <w:tcW w:w="1884" w:type="dxa"/>
            <w:gridSpan w:val="5"/>
            <w:noWrap w:val="0"/>
            <w:vAlign w:val="center"/>
          </w:tcPr>
          <w:p>
            <w:pPr>
              <w:spacing w:line="500" w:lineRule="exact"/>
              <w:jc w:val="center"/>
              <w:rPr>
                <w:rFonts w:hint="eastAsia" w:eastAsia="仿宋_GB2312"/>
                <w:color w:val="000000"/>
                <w:sz w:val="24"/>
                <w:lang w:val="en-US" w:eastAsia="zh-CN"/>
              </w:rPr>
            </w:pPr>
            <w:r>
              <w:rPr>
                <w:rFonts w:hint="eastAsia" w:eastAsia="仿宋_GB2312"/>
                <w:color w:val="000000"/>
                <w:sz w:val="24"/>
                <w:lang w:val="en-US" w:eastAsia="zh-CN"/>
              </w:rPr>
              <w:t>/</w:t>
            </w:r>
          </w:p>
        </w:tc>
        <w:tc>
          <w:tcPr>
            <w:tcW w:w="1217" w:type="dxa"/>
            <w:gridSpan w:val="5"/>
            <w:noWrap w:val="0"/>
            <w:vAlign w:val="center"/>
          </w:tcPr>
          <w:p>
            <w:pPr>
              <w:spacing w:line="500" w:lineRule="exact"/>
              <w:jc w:val="center"/>
              <w:rPr>
                <w:rFonts w:hint="eastAsia" w:eastAsia="仿宋_GB2312"/>
                <w:color w:val="000000"/>
                <w:sz w:val="24"/>
              </w:rPr>
            </w:pPr>
            <w:r>
              <w:rPr>
                <w:rFonts w:hint="eastAsia" w:eastAsia="仿宋_GB2312"/>
                <w:color w:val="000000"/>
                <w:sz w:val="24"/>
                <w:lang w:val="en-US" w:eastAsia="zh-CN"/>
              </w:rPr>
              <w:t>65</w:t>
            </w:r>
          </w:p>
        </w:tc>
        <w:tc>
          <w:tcPr>
            <w:tcW w:w="1091" w:type="dxa"/>
            <w:gridSpan w:val="4"/>
            <w:noWrap w:val="0"/>
            <w:vAlign w:val="center"/>
          </w:tcPr>
          <w:p>
            <w:pPr>
              <w:spacing w:line="500" w:lineRule="exact"/>
              <w:jc w:val="center"/>
              <w:rPr>
                <w:rFonts w:hint="eastAsia" w:eastAsia="仿宋_GB2312"/>
                <w:color w:val="000000"/>
                <w:sz w:val="24"/>
                <w:lang w:val="en-US" w:eastAsia="zh-CN"/>
              </w:rPr>
            </w:pPr>
            <w:r>
              <w:rPr>
                <w:rFonts w:hint="eastAsia" w:eastAsia="仿宋_GB2312"/>
                <w:color w:val="000000"/>
                <w:sz w:val="24"/>
                <w:lang w:val="en-US" w:eastAsia="zh-CN"/>
              </w:rPr>
              <w:t>/</w:t>
            </w:r>
          </w:p>
        </w:tc>
        <w:tc>
          <w:tcPr>
            <w:tcW w:w="1707" w:type="dxa"/>
            <w:gridSpan w:val="3"/>
            <w:noWrap w:val="0"/>
            <w:vAlign w:val="center"/>
          </w:tcPr>
          <w:p>
            <w:pPr>
              <w:spacing w:line="500" w:lineRule="exact"/>
              <w:jc w:val="center"/>
              <w:rPr>
                <w:rFonts w:hint="eastAsia" w:eastAsia="仿宋_GB2312"/>
                <w:color w:val="000000"/>
                <w:sz w:val="24"/>
                <w:lang w:val="en-US" w:eastAsia="zh-CN"/>
              </w:rPr>
            </w:pPr>
            <w:r>
              <w:rPr>
                <w:rFonts w:hint="eastAsia" w:eastAsia="仿宋_GB2312"/>
                <w:color w:val="000000"/>
                <w:sz w:val="24"/>
              </w:rPr>
              <w:t> </w:t>
            </w:r>
            <w:r>
              <w:rPr>
                <w:rFonts w:hint="eastAsia" w:eastAsia="仿宋_GB2312"/>
                <w:color w:val="000000"/>
                <w:sz w:val="24"/>
                <w:lang w:val="en-US" w:eastAsia="zh-CN"/>
              </w:rPr>
              <w:t>否</w:t>
            </w:r>
          </w:p>
        </w:tc>
        <w:tc>
          <w:tcPr>
            <w:tcW w:w="1696" w:type="dxa"/>
            <w:gridSpan w:val="3"/>
            <w:noWrap w:val="0"/>
            <w:vAlign w:val="center"/>
          </w:tcPr>
          <w:p>
            <w:pPr>
              <w:spacing w:line="500" w:lineRule="exact"/>
              <w:jc w:val="center"/>
              <w:rPr>
                <w:rFonts w:hint="eastAsia" w:eastAsia="仿宋_GB2312"/>
                <w:color w:val="000000"/>
                <w:sz w:val="24"/>
                <w:lang w:val="en-US" w:eastAsia="zh-CN"/>
              </w:rPr>
            </w:pPr>
            <w:r>
              <w:rPr>
                <w:rFonts w:hint="eastAsia" w:eastAsia="仿宋_GB2312"/>
                <w:color w:val="000000"/>
                <w:sz w:val="24"/>
                <w:lang w:val="en-US" w:eastAsia="zh-CN"/>
              </w:rPr>
              <w:t>否</w:t>
            </w:r>
          </w:p>
        </w:tc>
        <w:tc>
          <w:tcPr>
            <w:tcW w:w="2000" w:type="dxa"/>
            <w:gridSpan w:val="4"/>
            <w:noWrap w:val="0"/>
            <w:vAlign w:val="center"/>
          </w:tcPr>
          <w:p>
            <w:pPr>
              <w:spacing w:line="500" w:lineRule="exact"/>
              <w:jc w:val="center"/>
              <w:rPr>
                <w:rFonts w:hint="eastAsia" w:eastAsia="仿宋_GB2312"/>
                <w:color w:val="000000"/>
                <w:sz w:val="24"/>
              </w:rPr>
            </w:pPr>
            <w:r>
              <w:rPr>
                <w:rFonts w:hint="eastAsia" w:eastAsia="仿宋_GB2312"/>
                <w:szCs w:val="21"/>
                <w:lang w:val="en-US" w:eastAsia="zh-CN"/>
              </w:rPr>
              <w:t>未缴纳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786" w:type="dxa"/>
            <w:gridSpan w:val="3"/>
            <w:noWrap w:val="0"/>
            <w:vAlign w:val="center"/>
          </w:tcPr>
          <w:p>
            <w:pPr>
              <w:spacing w:line="500" w:lineRule="exact"/>
              <w:jc w:val="center"/>
              <w:rPr>
                <w:rFonts w:hint="eastAsia" w:eastAsia="仿宋_GB2312"/>
                <w:color w:val="000000"/>
                <w:sz w:val="24"/>
              </w:rPr>
            </w:pPr>
            <w:r>
              <w:rPr>
                <w:rFonts w:hint="eastAsia" w:eastAsia="仿宋_GB2312"/>
                <w:color w:val="000000"/>
                <w:sz w:val="24"/>
              </w:rPr>
              <w:t> 北</w:t>
            </w:r>
          </w:p>
        </w:tc>
        <w:tc>
          <w:tcPr>
            <w:tcW w:w="1928" w:type="dxa"/>
            <w:gridSpan w:val="6"/>
            <w:noWrap w:val="0"/>
            <w:vAlign w:val="center"/>
          </w:tcPr>
          <w:p>
            <w:pPr>
              <w:spacing w:line="500" w:lineRule="exact"/>
              <w:jc w:val="center"/>
              <w:rPr>
                <w:rFonts w:hint="default" w:eastAsia="仿宋_GB2312"/>
                <w:color w:val="000000"/>
                <w:sz w:val="24"/>
                <w:lang w:val="en-US" w:eastAsia="zh-CN"/>
              </w:rPr>
            </w:pPr>
            <w:r>
              <w:rPr>
                <w:rFonts w:hint="eastAsia" w:eastAsia="仿宋_GB2312"/>
                <w:color w:val="000000"/>
                <w:sz w:val="24"/>
              </w:rPr>
              <w:t> </w:t>
            </w:r>
            <w:r>
              <w:rPr>
                <w:rFonts w:hint="eastAsia" w:eastAsia="仿宋_GB2312"/>
                <w:color w:val="000000"/>
                <w:sz w:val="24"/>
                <w:lang w:val="en-US" w:eastAsia="zh-CN"/>
              </w:rPr>
              <w:t>62.6</w:t>
            </w:r>
          </w:p>
        </w:tc>
        <w:tc>
          <w:tcPr>
            <w:tcW w:w="1884" w:type="dxa"/>
            <w:gridSpan w:val="5"/>
            <w:noWrap w:val="0"/>
            <w:vAlign w:val="center"/>
          </w:tcPr>
          <w:p>
            <w:pPr>
              <w:spacing w:line="500" w:lineRule="exact"/>
              <w:jc w:val="center"/>
              <w:rPr>
                <w:rFonts w:hint="eastAsia" w:eastAsia="仿宋_GB2312"/>
                <w:color w:val="000000"/>
                <w:sz w:val="24"/>
                <w:lang w:val="en-US" w:eastAsia="zh-CN"/>
              </w:rPr>
            </w:pPr>
            <w:r>
              <w:rPr>
                <w:rFonts w:hint="eastAsia" w:eastAsia="仿宋_GB2312"/>
                <w:color w:val="000000"/>
                <w:sz w:val="24"/>
              </w:rPr>
              <w:t> </w:t>
            </w:r>
            <w:r>
              <w:rPr>
                <w:rFonts w:hint="eastAsia" w:eastAsia="仿宋_GB2312"/>
                <w:color w:val="000000"/>
                <w:sz w:val="24"/>
                <w:lang w:val="en-US" w:eastAsia="zh-CN"/>
              </w:rPr>
              <w:t>/</w:t>
            </w:r>
          </w:p>
        </w:tc>
        <w:tc>
          <w:tcPr>
            <w:tcW w:w="1217" w:type="dxa"/>
            <w:gridSpan w:val="5"/>
            <w:noWrap w:val="0"/>
            <w:vAlign w:val="center"/>
          </w:tcPr>
          <w:p>
            <w:pPr>
              <w:spacing w:line="500" w:lineRule="exact"/>
              <w:jc w:val="center"/>
              <w:rPr>
                <w:rFonts w:hint="eastAsia" w:eastAsia="仿宋_GB2312"/>
                <w:color w:val="000000"/>
                <w:sz w:val="24"/>
              </w:rPr>
            </w:pPr>
            <w:r>
              <w:rPr>
                <w:rFonts w:hint="eastAsia" w:eastAsia="仿宋_GB2312"/>
                <w:color w:val="000000"/>
                <w:sz w:val="24"/>
                <w:lang w:val="en-US" w:eastAsia="zh-CN"/>
              </w:rPr>
              <w:t>65</w:t>
            </w:r>
          </w:p>
        </w:tc>
        <w:tc>
          <w:tcPr>
            <w:tcW w:w="1091" w:type="dxa"/>
            <w:gridSpan w:val="4"/>
            <w:noWrap w:val="0"/>
            <w:vAlign w:val="center"/>
          </w:tcPr>
          <w:p>
            <w:pPr>
              <w:spacing w:line="500" w:lineRule="exact"/>
              <w:jc w:val="center"/>
              <w:rPr>
                <w:rFonts w:hint="eastAsia" w:eastAsia="仿宋_GB2312"/>
                <w:color w:val="000000"/>
                <w:sz w:val="24"/>
                <w:lang w:val="en-US" w:eastAsia="zh-CN"/>
              </w:rPr>
            </w:pPr>
            <w:r>
              <w:rPr>
                <w:rFonts w:hint="eastAsia" w:eastAsia="仿宋_GB2312"/>
                <w:color w:val="000000"/>
                <w:sz w:val="24"/>
                <w:lang w:val="en-US" w:eastAsia="zh-CN"/>
              </w:rPr>
              <w:t>/</w:t>
            </w:r>
          </w:p>
        </w:tc>
        <w:tc>
          <w:tcPr>
            <w:tcW w:w="1707" w:type="dxa"/>
            <w:gridSpan w:val="3"/>
            <w:noWrap w:val="0"/>
            <w:vAlign w:val="center"/>
          </w:tcPr>
          <w:p>
            <w:pPr>
              <w:spacing w:line="500" w:lineRule="exact"/>
              <w:jc w:val="center"/>
              <w:rPr>
                <w:rFonts w:hint="eastAsia" w:eastAsia="仿宋_GB2312"/>
                <w:color w:val="000000"/>
                <w:sz w:val="24"/>
                <w:lang w:val="en-US" w:eastAsia="zh-CN"/>
              </w:rPr>
            </w:pPr>
            <w:r>
              <w:rPr>
                <w:rFonts w:hint="eastAsia" w:eastAsia="仿宋_GB2312"/>
                <w:color w:val="000000"/>
                <w:sz w:val="24"/>
              </w:rPr>
              <w:t> </w:t>
            </w:r>
            <w:r>
              <w:rPr>
                <w:rFonts w:hint="eastAsia" w:eastAsia="仿宋_GB2312"/>
                <w:color w:val="000000"/>
                <w:sz w:val="24"/>
                <w:lang w:val="en-US" w:eastAsia="zh-CN"/>
              </w:rPr>
              <w:t>否</w:t>
            </w:r>
          </w:p>
        </w:tc>
        <w:tc>
          <w:tcPr>
            <w:tcW w:w="1696" w:type="dxa"/>
            <w:gridSpan w:val="3"/>
            <w:noWrap w:val="0"/>
            <w:vAlign w:val="center"/>
          </w:tcPr>
          <w:p>
            <w:pPr>
              <w:spacing w:line="500" w:lineRule="exact"/>
              <w:jc w:val="center"/>
              <w:rPr>
                <w:rFonts w:hint="eastAsia" w:eastAsia="仿宋_GB2312"/>
                <w:color w:val="000000"/>
                <w:sz w:val="24"/>
                <w:lang w:val="en-US" w:eastAsia="zh-CN"/>
              </w:rPr>
            </w:pPr>
            <w:r>
              <w:rPr>
                <w:rFonts w:hint="eastAsia" w:eastAsia="仿宋_GB2312"/>
                <w:color w:val="000000"/>
                <w:sz w:val="24"/>
                <w:lang w:val="en-US" w:eastAsia="zh-CN"/>
              </w:rPr>
              <w:t>否</w:t>
            </w:r>
          </w:p>
        </w:tc>
        <w:tc>
          <w:tcPr>
            <w:tcW w:w="2000" w:type="dxa"/>
            <w:gridSpan w:val="4"/>
            <w:noWrap w:val="0"/>
            <w:vAlign w:val="center"/>
          </w:tcPr>
          <w:p>
            <w:pPr>
              <w:spacing w:line="500" w:lineRule="exact"/>
              <w:jc w:val="center"/>
              <w:rPr>
                <w:rFonts w:hint="eastAsia" w:eastAsia="仿宋_GB2312"/>
                <w:color w:val="000000"/>
                <w:sz w:val="24"/>
              </w:rPr>
            </w:pPr>
            <w:r>
              <w:rPr>
                <w:rFonts w:hint="eastAsia" w:eastAsia="仿宋_GB2312"/>
                <w:szCs w:val="21"/>
                <w:lang w:val="en-US" w:eastAsia="zh-CN"/>
              </w:rPr>
              <w:t>未缴纳</w:t>
            </w:r>
          </w:p>
        </w:tc>
      </w:tr>
      <w:bookmarkEnd w:id="6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786" w:type="dxa"/>
            <w:gridSpan w:val="3"/>
            <w:noWrap w:val="0"/>
            <w:vAlign w:val="center"/>
          </w:tcPr>
          <w:p>
            <w:pPr>
              <w:pStyle w:val="16"/>
              <w:rPr>
                <w:rFonts w:ascii="宋体" w:cs="宋体"/>
                <w:kern w:val="0"/>
                <w:sz w:val="24"/>
              </w:rPr>
            </w:pPr>
          </w:p>
        </w:tc>
        <w:tc>
          <w:tcPr>
            <w:tcW w:w="1928" w:type="dxa"/>
            <w:gridSpan w:val="6"/>
            <w:noWrap w:val="0"/>
            <w:vAlign w:val="center"/>
          </w:tcPr>
          <w:p>
            <w:pPr>
              <w:widowControl/>
              <w:spacing w:before="100" w:beforeAutospacing="1" w:after="100" w:afterAutospacing="1"/>
              <w:jc w:val="center"/>
              <w:rPr>
                <w:rFonts w:ascii="宋体" w:cs="宋体"/>
                <w:kern w:val="0"/>
                <w:sz w:val="24"/>
              </w:rPr>
            </w:pPr>
          </w:p>
        </w:tc>
        <w:tc>
          <w:tcPr>
            <w:tcW w:w="1884" w:type="dxa"/>
            <w:gridSpan w:val="5"/>
            <w:noWrap w:val="0"/>
            <w:vAlign w:val="center"/>
          </w:tcPr>
          <w:p>
            <w:pPr>
              <w:widowControl/>
              <w:spacing w:before="100" w:beforeAutospacing="1" w:after="100" w:afterAutospacing="1"/>
              <w:jc w:val="center"/>
              <w:rPr>
                <w:rFonts w:ascii="宋体" w:cs="宋体"/>
                <w:kern w:val="0"/>
                <w:sz w:val="24"/>
              </w:rPr>
            </w:pPr>
          </w:p>
        </w:tc>
        <w:tc>
          <w:tcPr>
            <w:tcW w:w="1217" w:type="dxa"/>
            <w:gridSpan w:val="5"/>
            <w:noWrap w:val="0"/>
            <w:vAlign w:val="center"/>
          </w:tcPr>
          <w:p>
            <w:pPr>
              <w:widowControl/>
              <w:spacing w:before="100" w:beforeAutospacing="1" w:after="100" w:afterAutospacing="1"/>
              <w:jc w:val="center"/>
              <w:rPr>
                <w:rFonts w:ascii="宋体" w:cs="宋体"/>
                <w:sz w:val="24"/>
                <w:szCs w:val="24"/>
              </w:rPr>
            </w:pPr>
          </w:p>
        </w:tc>
        <w:tc>
          <w:tcPr>
            <w:tcW w:w="1091" w:type="dxa"/>
            <w:gridSpan w:val="4"/>
            <w:noWrap w:val="0"/>
            <w:vAlign w:val="center"/>
          </w:tcPr>
          <w:p>
            <w:pPr>
              <w:widowControl/>
              <w:spacing w:before="100" w:beforeAutospacing="1" w:after="100" w:afterAutospacing="1"/>
              <w:jc w:val="center"/>
              <w:rPr>
                <w:rFonts w:ascii="宋体" w:cs="宋体"/>
                <w:sz w:val="24"/>
                <w:szCs w:val="24"/>
              </w:rPr>
            </w:pPr>
          </w:p>
        </w:tc>
        <w:tc>
          <w:tcPr>
            <w:tcW w:w="1707" w:type="dxa"/>
            <w:gridSpan w:val="3"/>
            <w:noWrap w:val="0"/>
            <w:vAlign w:val="center"/>
          </w:tcPr>
          <w:p>
            <w:pPr>
              <w:widowControl/>
              <w:spacing w:before="100" w:beforeAutospacing="1" w:after="100" w:afterAutospacing="1"/>
              <w:jc w:val="center"/>
              <w:rPr>
                <w:rFonts w:ascii="宋体" w:cs="宋体"/>
                <w:kern w:val="0"/>
                <w:sz w:val="24"/>
              </w:rPr>
            </w:pPr>
          </w:p>
        </w:tc>
        <w:tc>
          <w:tcPr>
            <w:tcW w:w="1696" w:type="dxa"/>
            <w:gridSpan w:val="3"/>
            <w:noWrap w:val="0"/>
            <w:vAlign w:val="center"/>
          </w:tcPr>
          <w:p>
            <w:pPr>
              <w:widowControl/>
              <w:spacing w:before="100" w:beforeAutospacing="1" w:after="100" w:afterAutospacing="1"/>
              <w:jc w:val="center"/>
              <w:rPr>
                <w:rFonts w:hint="eastAsia" w:ascii="宋体" w:cs="宋体"/>
                <w:kern w:val="0"/>
                <w:sz w:val="24"/>
                <w:lang w:val="en-US" w:eastAsia="zh-CN"/>
              </w:rPr>
            </w:pPr>
          </w:p>
        </w:tc>
        <w:tc>
          <w:tcPr>
            <w:tcW w:w="2000" w:type="dxa"/>
            <w:gridSpan w:val="4"/>
            <w:noWrap w:val="0"/>
            <w:vAlign w:val="center"/>
          </w:tcPr>
          <w:p>
            <w:pPr>
              <w:widowControl/>
              <w:spacing w:before="100" w:beforeAutospacing="1" w:after="100" w:afterAutospacing="1"/>
              <w:jc w:val="center"/>
              <w:rPr>
                <w:rFonts w:ascii="宋体" w:cs="宋体"/>
                <w:kern w:val="0"/>
                <w:sz w:val="24"/>
              </w:rPr>
            </w:pPr>
          </w:p>
        </w:tc>
      </w:tr>
    </w:tbl>
    <w:p>
      <w:pPr>
        <w:numPr>
          <w:ilvl w:val="0"/>
          <w:numId w:val="1"/>
        </w:numPr>
        <w:spacing w:line="560" w:lineRule="exact"/>
        <w:ind w:firstLine="320" w:firstLineChars="100"/>
        <w:jc w:val="left"/>
        <w:rPr>
          <w:rFonts w:hint="eastAsia" w:eastAsia="黑体"/>
          <w:sz w:val="32"/>
          <w:szCs w:val="32"/>
        </w:rPr>
      </w:pPr>
      <w:r>
        <w:rPr>
          <w:rFonts w:hint="eastAsia" w:eastAsia="黑体"/>
          <w:sz w:val="32"/>
          <w:szCs w:val="32"/>
        </w:rPr>
        <w:t>防治污染设施的建设和运行情况</w:t>
      </w:r>
    </w:p>
    <w:p>
      <w:pPr>
        <w:pStyle w:val="16"/>
        <w:numPr>
          <w:ilvl w:val="0"/>
          <w:numId w:val="0"/>
        </w:numPr>
      </w:pPr>
    </w:p>
    <w:tbl>
      <w:tblPr>
        <w:tblStyle w:val="13"/>
        <w:tblW w:w="13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4282"/>
        <w:gridCol w:w="1559"/>
        <w:gridCol w:w="1701"/>
        <w:gridCol w:w="2126"/>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设施类别</w:t>
            </w:r>
          </w:p>
        </w:tc>
        <w:tc>
          <w:tcPr>
            <w:tcW w:w="4282"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防治污染设施名称</w:t>
            </w:r>
          </w:p>
        </w:tc>
        <w:tc>
          <w:tcPr>
            <w:tcW w:w="1559"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投运时间</w:t>
            </w:r>
          </w:p>
        </w:tc>
        <w:tc>
          <w:tcPr>
            <w:tcW w:w="1701"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处理能力</w:t>
            </w:r>
          </w:p>
        </w:tc>
        <w:tc>
          <w:tcPr>
            <w:tcW w:w="2126"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运行情况</w:t>
            </w:r>
          </w:p>
        </w:tc>
        <w:tc>
          <w:tcPr>
            <w:tcW w:w="1927"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运维单位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560" w:type="dxa"/>
            <w:vMerge w:val="restart"/>
            <w:noWrap w:val="0"/>
            <w:vAlign w:val="center"/>
          </w:tcPr>
          <w:p>
            <w:pPr>
              <w:spacing w:line="560" w:lineRule="exact"/>
              <w:ind w:left="-105" w:leftChars="-50" w:right="-105" w:rightChars="-50"/>
              <w:jc w:val="center"/>
              <w:rPr>
                <w:rFonts w:eastAsia="仿宋_GB2312"/>
                <w:sz w:val="24"/>
              </w:rPr>
            </w:pPr>
            <w:r>
              <w:rPr>
                <w:rFonts w:hint="eastAsia" w:eastAsia="仿宋_GB2312"/>
                <w:sz w:val="24"/>
              </w:rPr>
              <w:t>水污染物</w:t>
            </w:r>
          </w:p>
        </w:tc>
        <w:tc>
          <w:tcPr>
            <w:tcW w:w="4282" w:type="dxa"/>
            <w:noWrap w:val="0"/>
            <w:vAlign w:val="center"/>
          </w:tcPr>
          <w:p>
            <w:pPr>
              <w:widowControl/>
              <w:spacing w:before="100" w:beforeAutospacing="1" w:after="100" w:afterAutospacing="1"/>
              <w:ind w:left="-105"/>
              <w:jc w:val="center"/>
              <w:rPr>
                <w:rFonts w:hint="eastAsia" w:eastAsia="仿宋_GB2312"/>
                <w:sz w:val="24"/>
                <w:lang w:val="en-US" w:eastAsia="zh-CN"/>
              </w:rPr>
            </w:pPr>
            <w:r>
              <w:rPr>
                <w:rFonts w:hint="eastAsia" w:eastAsia="仿宋_GB2312"/>
                <w:sz w:val="24"/>
                <w:lang w:val="en-US" w:eastAsia="zh-CN"/>
              </w:rPr>
              <w:t>污水处理站</w:t>
            </w:r>
          </w:p>
        </w:tc>
        <w:tc>
          <w:tcPr>
            <w:tcW w:w="1559" w:type="dxa"/>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val="en-US" w:eastAsia="zh-CN"/>
              </w:rPr>
              <w:t>2002a</w:t>
            </w:r>
          </w:p>
        </w:tc>
        <w:tc>
          <w:tcPr>
            <w:tcW w:w="1701" w:type="dxa"/>
            <w:noWrap w:val="0"/>
            <w:vAlign w:val="center"/>
          </w:tcPr>
          <w:p>
            <w:pPr>
              <w:widowControl/>
              <w:spacing w:before="100" w:beforeAutospacing="1" w:after="100" w:afterAutospacing="1"/>
              <w:ind w:left="-105"/>
              <w:jc w:val="center"/>
              <w:rPr>
                <w:rFonts w:hint="default" w:eastAsia="仿宋_GB2312"/>
                <w:sz w:val="24"/>
                <w:lang w:val="en-US" w:eastAsia="zh-CN"/>
              </w:rPr>
            </w:pPr>
            <w:r>
              <w:rPr>
                <w:rFonts w:hint="eastAsia" w:eastAsia="仿宋_GB2312"/>
                <w:sz w:val="24"/>
                <w:lang w:val="en-US" w:eastAsia="zh-CN"/>
              </w:rPr>
              <w:t>70t/d</w:t>
            </w:r>
          </w:p>
        </w:tc>
        <w:tc>
          <w:tcPr>
            <w:tcW w:w="2126" w:type="dxa"/>
            <w:noWrap w:val="0"/>
            <w:vAlign w:val="center"/>
          </w:tcPr>
          <w:p>
            <w:pPr>
              <w:widowControl/>
              <w:spacing w:before="100" w:beforeAutospacing="1" w:after="100" w:afterAutospacing="1"/>
              <w:ind w:left="-105"/>
              <w:jc w:val="center"/>
              <w:rPr>
                <w:rFonts w:hint="eastAsia" w:eastAsia="仿宋_GB2312"/>
                <w:sz w:val="24"/>
                <w:lang w:val="en-US" w:eastAsia="zh-CN"/>
              </w:rPr>
            </w:pPr>
            <w:r>
              <w:rPr>
                <w:rFonts w:hint="eastAsia" w:eastAsia="仿宋_GB2312"/>
                <w:sz w:val="24"/>
                <w:lang w:val="en-US" w:eastAsia="zh-CN"/>
              </w:rPr>
              <w:t>正常</w:t>
            </w:r>
          </w:p>
        </w:tc>
        <w:tc>
          <w:tcPr>
            <w:tcW w:w="1927" w:type="dxa"/>
            <w:noWrap w:val="0"/>
            <w:vAlign w:val="center"/>
          </w:tcPr>
          <w:p>
            <w:pPr>
              <w:widowControl/>
              <w:spacing w:before="100" w:beforeAutospacing="1" w:after="100" w:afterAutospacing="1"/>
              <w:jc w:val="center"/>
              <w:rPr>
                <w:rFonts w:hint="default" w:eastAsia="仿宋_GB2312"/>
                <w:sz w:val="24"/>
                <w:lang w:val="en-US" w:eastAsia="zh-CN"/>
              </w:rPr>
            </w:pPr>
            <w:r>
              <w:rPr>
                <w:rFonts w:hint="eastAsia" w:eastAsia="仿宋_GB2312"/>
                <w:sz w:val="24"/>
                <w:lang w:val="en-US" w:eastAsia="zh-CN"/>
              </w:rPr>
              <w:t>自运维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widowControl/>
              <w:jc w:val="left"/>
              <w:rPr>
                <w:rFonts w:eastAsia="仿宋_GB2312"/>
                <w:sz w:val="24"/>
              </w:rPr>
            </w:pPr>
          </w:p>
        </w:tc>
        <w:tc>
          <w:tcPr>
            <w:tcW w:w="4282" w:type="dxa"/>
            <w:noWrap w:val="0"/>
            <w:vAlign w:val="center"/>
          </w:tcPr>
          <w:p>
            <w:pPr>
              <w:spacing w:line="560" w:lineRule="exact"/>
              <w:ind w:left="-105" w:leftChars="-50" w:right="-105" w:rightChars="-50"/>
              <w:jc w:val="center"/>
              <w:rPr>
                <w:rFonts w:eastAsia="仿宋_GB2312"/>
                <w:sz w:val="24"/>
              </w:rPr>
            </w:pPr>
          </w:p>
        </w:tc>
        <w:tc>
          <w:tcPr>
            <w:tcW w:w="1559" w:type="dxa"/>
            <w:noWrap w:val="0"/>
            <w:vAlign w:val="center"/>
          </w:tcPr>
          <w:p>
            <w:pPr>
              <w:spacing w:line="560" w:lineRule="exact"/>
              <w:ind w:left="-105" w:leftChars="-50" w:right="-105" w:rightChars="-50"/>
              <w:jc w:val="center"/>
              <w:rPr>
                <w:rFonts w:eastAsia="仿宋_GB2312"/>
                <w:sz w:val="24"/>
              </w:rPr>
            </w:pPr>
          </w:p>
        </w:tc>
        <w:tc>
          <w:tcPr>
            <w:tcW w:w="1701" w:type="dxa"/>
            <w:noWrap w:val="0"/>
            <w:vAlign w:val="center"/>
          </w:tcPr>
          <w:p>
            <w:pPr>
              <w:spacing w:line="560" w:lineRule="exact"/>
              <w:ind w:left="-105" w:leftChars="-50" w:right="-105" w:rightChars="-50"/>
              <w:jc w:val="center"/>
              <w:rPr>
                <w:rFonts w:eastAsia="仿宋_GB2312"/>
                <w:sz w:val="24"/>
              </w:rPr>
            </w:pPr>
          </w:p>
        </w:tc>
        <w:tc>
          <w:tcPr>
            <w:tcW w:w="2126" w:type="dxa"/>
            <w:noWrap w:val="0"/>
            <w:vAlign w:val="center"/>
          </w:tcPr>
          <w:p>
            <w:pPr>
              <w:spacing w:line="560" w:lineRule="exact"/>
              <w:ind w:left="-105" w:leftChars="-50" w:right="-105" w:rightChars="-50"/>
              <w:jc w:val="center"/>
              <w:rPr>
                <w:rFonts w:eastAsia="仿宋_GB2312"/>
                <w:sz w:val="24"/>
              </w:rPr>
            </w:pPr>
          </w:p>
        </w:tc>
        <w:tc>
          <w:tcPr>
            <w:tcW w:w="1927" w:type="dxa"/>
            <w:noWrap w:val="0"/>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widowControl/>
              <w:jc w:val="left"/>
              <w:rPr>
                <w:rFonts w:eastAsia="仿宋_GB2312"/>
                <w:sz w:val="24"/>
              </w:rPr>
            </w:pPr>
          </w:p>
        </w:tc>
        <w:tc>
          <w:tcPr>
            <w:tcW w:w="4282" w:type="dxa"/>
            <w:noWrap w:val="0"/>
            <w:vAlign w:val="center"/>
          </w:tcPr>
          <w:p>
            <w:pPr>
              <w:spacing w:line="560" w:lineRule="exact"/>
              <w:ind w:left="-105" w:leftChars="-50" w:right="-105" w:rightChars="-50"/>
              <w:jc w:val="center"/>
              <w:rPr>
                <w:rFonts w:eastAsia="仿宋_GB2312"/>
                <w:sz w:val="24"/>
              </w:rPr>
            </w:pPr>
            <w:r>
              <w:rPr>
                <w:rFonts w:eastAsia="仿宋_GB2312"/>
                <w:sz w:val="24"/>
              </w:rPr>
              <w:t>……</w:t>
            </w:r>
          </w:p>
        </w:tc>
        <w:tc>
          <w:tcPr>
            <w:tcW w:w="1559" w:type="dxa"/>
            <w:noWrap w:val="0"/>
            <w:vAlign w:val="center"/>
          </w:tcPr>
          <w:p>
            <w:pPr>
              <w:spacing w:line="560" w:lineRule="exact"/>
              <w:ind w:left="-105" w:leftChars="-50" w:right="-105" w:rightChars="-50"/>
              <w:jc w:val="center"/>
              <w:rPr>
                <w:rFonts w:eastAsia="仿宋_GB2312"/>
                <w:sz w:val="24"/>
              </w:rPr>
            </w:pPr>
          </w:p>
        </w:tc>
        <w:tc>
          <w:tcPr>
            <w:tcW w:w="1701" w:type="dxa"/>
            <w:noWrap w:val="0"/>
            <w:vAlign w:val="center"/>
          </w:tcPr>
          <w:p>
            <w:pPr>
              <w:spacing w:line="560" w:lineRule="exact"/>
              <w:ind w:left="-105" w:leftChars="-50" w:right="-105" w:rightChars="-50"/>
              <w:jc w:val="center"/>
              <w:rPr>
                <w:rFonts w:eastAsia="仿宋_GB2312"/>
                <w:sz w:val="24"/>
              </w:rPr>
            </w:pPr>
          </w:p>
        </w:tc>
        <w:tc>
          <w:tcPr>
            <w:tcW w:w="2126" w:type="dxa"/>
            <w:noWrap w:val="0"/>
            <w:vAlign w:val="center"/>
          </w:tcPr>
          <w:p>
            <w:pPr>
              <w:spacing w:line="560" w:lineRule="exact"/>
              <w:ind w:left="-105" w:leftChars="-50" w:right="-105" w:rightChars="-50"/>
              <w:jc w:val="center"/>
              <w:rPr>
                <w:rFonts w:eastAsia="仿宋_GB2312"/>
                <w:sz w:val="24"/>
              </w:rPr>
            </w:pPr>
          </w:p>
        </w:tc>
        <w:tc>
          <w:tcPr>
            <w:tcW w:w="1927" w:type="dxa"/>
            <w:noWrap w:val="0"/>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noWrap w:val="0"/>
            <w:vAlign w:val="center"/>
          </w:tcPr>
          <w:p>
            <w:pPr>
              <w:spacing w:line="560" w:lineRule="exact"/>
              <w:ind w:left="-105" w:leftChars="-50" w:right="-105" w:rightChars="-50"/>
              <w:jc w:val="center"/>
              <w:rPr>
                <w:rFonts w:eastAsia="仿宋_GB2312"/>
                <w:sz w:val="24"/>
              </w:rPr>
            </w:pPr>
            <w:r>
              <w:rPr>
                <w:rFonts w:hint="eastAsia" w:eastAsia="仿宋_GB2312"/>
                <w:sz w:val="24"/>
              </w:rPr>
              <w:t>大气污染物</w:t>
            </w:r>
          </w:p>
        </w:tc>
        <w:tc>
          <w:tcPr>
            <w:tcW w:w="4282" w:type="dxa"/>
            <w:noWrap w:val="0"/>
            <w:vAlign w:val="center"/>
          </w:tcPr>
          <w:p>
            <w:pPr>
              <w:spacing w:line="560" w:lineRule="exact"/>
              <w:ind w:left="-105" w:leftChars="-50" w:right="-105" w:rightChars="-50"/>
              <w:jc w:val="center"/>
              <w:rPr>
                <w:rFonts w:hint="default" w:ascii="Calibri" w:hAnsi="Calibri" w:eastAsia="仿宋_GB2312" w:cs="Times New Roman"/>
                <w:kern w:val="2"/>
                <w:sz w:val="24"/>
                <w:szCs w:val="22"/>
                <w:highlight w:val="yellow"/>
                <w:lang w:val="en-US" w:eastAsia="zh-CN" w:bidi="ar-SA"/>
              </w:rPr>
            </w:pPr>
            <w:r>
              <w:rPr>
                <w:rFonts w:hint="eastAsia" w:eastAsia="仿宋_GB2312"/>
                <w:sz w:val="24"/>
                <w:highlight w:val="none"/>
                <w:lang w:val="en-US" w:eastAsia="zh-CN"/>
              </w:rPr>
              <w:t>酸雾塔</w:t>
            </w:r>
          </w:p>
        </w:tc>
        <w:tc>
          <w:tcPr>
            <w:tcW w:w="1559" w:type="dxa"/>
            <w:noWrap w:val="0"/>
            <w:vAlign w:val="center"/>
          </w:tcPr>
          <w:p>
            <w:pPr>
              <w:spacing w:line="560" w:lineRule="exact"/>
              <w:ind w:left="-105" w:leftChars="-50" w:right="-105" w:rightChars="-50"/>
              <w:jc w:val="center"/>
              <w:rPr>
                <w:rFonts w:hint="default" w:ascii="Calibri" w:hAnsi="Calibri" w:eastAsia="仿宋_GB2312" w:cs="Times New Roman"/>
                <w:kern w:val="2"/>
                <w:sz w:val="24"/>
                <w:szCs w:val="22"/>
                <w:lang w:val="en-US" w:eastAsia="zh-CN" w:bidi="ar-SA"/>
              </w:rPr>
            </w:pPr>
            <w:r>
              <w:rPr>
                <w:rFonts w:hint="eastAsia" w:eastAsia="仿宋_GB2312"/>
                <w:sz w:val="24"/>
                <w:lang w:val="en-US" w:eastAsia="zh-CN"/>
              </w:rPr>
              <w:t>2017a</w:t>
            </w:r>
          </w:p>
        </w:tc>
        <w:tc>
          <w:tcPr>
            <w:tcW w:w="1701" w:type="dxa"/>
            <w:noWrap w:val="0"/>
            <w:vAlign w:val="center"/>
          </w:tcPr>
          <w:p>
            <w:pPr>
              <w:spacing w:line="560" w:lineRule="exact"/>
              <w:ind w:left="-105" w:leftChars="-50" w:right="-105" w:rightChars="-50"/>
              <w:jc w:val="center"/>
              <w:rPr>
                <w:rFonts w:hint="default" w:ascii="Calibri" w:hAnsi="Calibri" w:eastAsia="仿宋_GB2312" w:cs="Times New Roman"/>
                <w:kern w:val="2"/>
                <w:sz w:val="24"/>
                <w:szCs w:val="22"/>
                <w:lang w:val="en-US" w:eastAsia="zh-CN" w:bidi="ar-SA"/>
              </w:rPr>
            </w:pPr>
            <w:r>
              <w:rPr>
                <w:rFonts w:hint="eastAsia" w:eastAsia="仿宋_GB2312"/>
                <w:sz w:val="24"/>
                <w:lang w:val="en-US" w:eastAsia="zh-CN"/>
              </w:rPr>
              <w:t>3000m³/h</w:t>
            </w:r>
          </w:p>
        </w:tc>
        <w:tc>
          <w:tcPr>
            <w:tcW w:w="2126" w:type="dxa"/>
            <w:noWrap w:val="0"/>
            <w:vAlign w:val="center"/>
          </w:tcPr>
          <w:p>
            <w:pPr>
              <w:spacing w:line="560" w:lineRule="exact"/>
              <w:ind w:left="-105" w:leftChars="-50" w:right="-105" w:rightChars="-50"/>
              <w:jc w:val="center"/>
              <w:rPr>
                <w:rFonts w:hint="eastAsia" w:ascii="Calibri" w:hAnsi="Calibri" w:eastAsia="仿宋_GB2312" w:cs="Times New Roman"/>
                <w:kern w:val="2"/>
                <w:sz w:val="24"/>
                <w:szCs w:val="22"/>
                <w:lang w:val="en-US" w:eastAsia="zh-CN" w:bidi="ar-SA"/>
              </w:rPr>
            </w:pPr>
            <w:r>
              <w:rPr>
                <w:rFonts w:hint="eastAsia" w:eastAsia="仿宋_GB2312"/>
                <w:sz w:val="24"/>
                <w:lang w:val="en-US" w:eastAsia="zh-CN"/>
              </w:rPr>
              <w:t>正常</w:t>
            </w:r>
          </w:p>
        </w:tc>
        <w:tc>
          <w:tcPr>
            <w:tcW w:w="1927" w:type="dxa"/>
            <w:noWrap w:val="0"/>
            <w:vAlign w:val="center"/>
          </w:tcPr>
          <w:p>
            <w:pPr>
              <w:spacing w:line="560" w:lineRule="exact"/>
              <w:ind w:left="-105" w:leftChars="-50" w:right="-105" w:rightChars="-50"/>
              <w:jc w:val="center"/>
              <w:rPr>
                <w:rFonts w:ascii="Calibri" w:hAnsi="Calibri" w:eastAsia="仿宋_GB2312" w:cs="Times New Roman"/>
                <w:kern w:val="2"/>
                <w:sz w:val="24"/>
                <w:szCs w:val="22"/>
                <w:lang w:val="en-US" w:eastAsia="zh-CN" w:bidi="ar-SA"/>
              </w:rPr>
            </w:pPr>
            <w:r>
              <w:rPr>
                <w:rFonts w:hint="eastAsia" w:eastAsia="仿宋_GB2312"/>
                <w:sz w:val="24"/>
                <w:lang w:val="en-US" w:eastAsia="zh-CN"/>
              </w:rPr>
              <w:t>自运维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widowControl/>
              <w:jc w:val="left"/>
              <w:rPr>
                <w:rFonts w:eastAsia="仿宋_GB2312"/>
                <w:sz w:val="24"/>
              </w:rPr>
            </w:pPr>
          </w:p>
        </w:tc>
        <w:tc>
          <w:tcPr>
            <w:tcW w:w="4282" w:type="dxa"/>
            <w:noWrap w:val="0"/>
            <w:vAlign w:val="center"/>
          </w:tcPr>
          <w:p>
            <w:pPr>
              <w:spacing w:line="560" w:lineRule="exact"/>
              <w:ind w:left="-105" w:leftChars="-50" w:right="-105" w:rightChars="-50"/>
              <w:jc w:val="center"/>
              <w:rPr>
                <w:rFonts w:hint="default" w:eastAsia="仿宋_GB2312"/>
                <w:sz w:val="24"/>
                <w:highlight w:val="yellow"/>
                <w:lang w:val="en-US" w:eastAsia="zh-CN"/>
              </w:rPr>
            </w:pPr>
          </w:p>
        </w:tc>
        <w:tc>
          <w:tcPr>
            <w:tcW w:w="1559" w:type="dxa"/>
            <w:noWrap w:val="0"/>
            <w:vAlign w:val="center"/>
          </w:tcPr>
          <w:p>
            <w:pPr>
              <w:spacing w:line="560" w:lineRule="exact"/>
              <w:ind w:left="-105" w:leftChars="-50" w:right="-105" w:rightChars="-50"/>
              <w:jc w:val="center"/>
              <w:rPr>
                <w:rFonts w:hint="default" w:eastAsia="仿宋_GB2312"/>
                <w:sz w:val="24"/>
                <w:lang w:val="en-US" w:eastAsia="zh-CN"/>
              </w:rPr>
            </w:pPr>
          </w:p>
        </w:tc>
        <w:tc>
          <w:tcPr>
            <w:tcW w:w="1701" w:type="dxa"/>
            <w:noWrap w:val="0"/>
            <w:vAlign w:val="center"/>
          </w:tcPr>
          <w:p>
            <w:pPr>
              <w:spacing w:line="560" w:lineRule="exact"/>
              <w:ind w:left="-105" w:leftChars="-50" w:right="-105" w:rightChars="-50"/>
              <w:jc w:val="center"/>
              <w:rPr>
                <w:rFonts w:hint="default" w:eastAsia="仿宋_GB2312"/>
                <w:sz w:val="24"/>
                <w:lang w:val="en-US" w:eastAsia="zh-CN"/>
              </w:rPr>
            </w:pPr>
          </w:p>
        </w:tc>
        <w:tc>
          <w:tcPr>
            <w:tcW w:w="2126" w:type="dxa"/>
            <w:noWrap w:val="0"/>
            <w:vAlign w:val="center"/>
          </w:tcPr>
          <w:p>
            <w:pPr>
              <w:spacing w:line="560" w:lineRule="exact"/>
              <w:ind w:left="-105" w:leftChars="-50" w:right="-105" w:rightChars="-50"/>
              <w:jc w:val="center"/>
              <w:rPr>
                <w:rFonts w:hint="eastAsia" w:eastAsia="仿宋_GB2312"/>
                <w:sz w:val="24"/>
                <w:lang w:val="en-US" w:eastAsia="zh-CN"/>
              </w:rPr>
            </w:pPr>
          </w:p>
        </w:tc>
        <w:tc>
          <w:tcPr>
            <w:tcW w:w="1927" w:type="dxa"/>
            <w:noWrap w:val="0"/>
            <w:vAlign w:val="center"/>
          </w:tcPr>
          <w:p>
            <w:pPr>
              <w:tabs>
                <w:tab w:val="center" w:pos="915"/>
                <w:tab w:val="right" w:pos="1816"/>
              </w:tabs>
              <w:spacing w:line="560" w:lineRule="exact"/>
              <w:ind w:left="-105" w:leftChars="-50" w:right="-105" w:rightChars="-50"/>
              <w:jc w:val="left"/>
              <w:rPr>
                <w:rFonts w:eastAsia="仿宋_GB2312"/>
                <w:sz w:val="24"/>
              </w:rPr>
            </w:pPr>
            <w:r>
              <w:rPr>
                <w:rFonts w:hint="eastAsia" w:eastAsia="仿宋_GB2312"/>
                <w:sz w:val="24"/>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widowControl/>
              <w:jc w:val="left"/>
              <w:rPr>
                <w:rFonts w:eastAsia="仿宋_GB2312"/>
                <w:sz w:val="24"/>
              </w:rPr>
            </w:pPr>
          </w:p>
        </w:tc>
        <w:tc>
          <w:tcPr>
            <w:tcW w:w="4282" w:type="dxa"/>
            <w:noWrap w:val="0"/>
            <w:vAlign w:val="center"/>
          </w:tcPr>
          <w:p>
            <w:pPr>
              <w:spacing w:line="560" w:lineRule="exact"/>
              <w:ind w:left="-105" w:leftChars="-50" w:right="-105" w:rightChars="-50"/>
              <w:jc w:val="center"/>
              <w:rPr>
                <w:rFonts w:hint="default" w:eastAsia="仿宋_GB2312"/>
                <w:sz w:val="24"/>
                <w:highlight w:val="yellow"/>
                <w:lang w:val="en-US" w:eastAsia="zh-CN"/>
              </w:rPr>
            </w:pPr>
          </w:p>
        </w:tc>
        <w:tc>
          <w:tcPr>
            <w:tcW w:w="1559" w:type="dxa"/>
            <w:noWrap w:val="0"/>
            <w:vAlign w:val="center"/>
          </w:tcPr>
          <w:p>
            <w:pPr>
              <w:spacing w:line="560" w:lineRule="exact"/>
              <w:ind w:left="-105" w:leftChars="-50" w:right="-105" w:rightChars="-50"/>
              <w:jc w:val="center"/>
              <w:rPr>
                <w:rFonts w:hint="default" w:eastAsia="仿宋_GB2312"/>
                <w:sz w:val="24"/>
                <w:lang w:val="en-US" w:eastAsia="zh-CN"/>
              </w:rPr>
            </w:pPr>
          </w:p>
        </w:tc>
        <w:tc>
          <w:tcPr>
            <w:tcW w:w="1701" w:type="dxa"/>
            <w:noWrap w:val="0"/>
            <w:vAlign w:val="center"/>
          </w:tcPr>
          <w:p>
            <w:pPr>
              <w:spacing w:line="560" w:lineRule="exact"/>
              <w:ind w:left="-105" w:leftChars="-50" w:right="-105" w:rightChars="-50"/>
              <w:jc w:val="center"/>
              <w:rPr>
                <w:rFonts w:eastAsia="仿宋_GB2312"/>
                <w:sz w:val="24"/>
              </w:rPr>
            </w:pPr>
          </w:p>
        </w:tc>
        <w:tc>
          <w:tcPr>
            <w:tcW w:w="2126" w:type="dxa"/>
            <w:noWrap w:val="0"/>
            <w:vAlign w:val="center"/>
          </w:tcPr>
          <w:p>
            <w:pPr>
              <w:spacing w:line="560" w:lineRule="exact"/>
              <w:ind w:left="-105" w:leftChars="-50" w:right="-105" w:rightChars="-50"/>
              <w:jc w:val="center"/>
              <w:rPr>
                <w:rFonts w:hint="eastAsia" w:eastAsia="仿宋_GB2312"/>
                <w:sz w:val="24"/>
                <w:lang w:val="en-US" w:eastAsia="zh-CN"/>
              </w:rPr>
            </w:pPr>
          </w:p>
        </w:tc>
        <w:tc>
          <w:tcPr>
            <w:tcW w:w="1927" w:type="dxa"/>
            <w:noWrap w:val="0"/>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noWrap w:val="0"/>
            <w:vAlign w:val="center"/>
          </w:tcPr>
          <w:p>
            <w:pPr>
              <w:spacing w:line="560" w:lineRule="exact"/>
              <w:ind w:left="-105" w:leftChars="-50" w:right="-105" w:rightChars="-50"/>
              <w:jc w:val="center"/>
              <w:rPr>
                <w:rFonts w:eastAsia="仿宋_GB2312"/>
                <w:sz w:val="24"/>
              </w:rPr>
            </w:pPr>
            <w:r>
              <w:rPr>
                <w:rFonts w:hint="eastAsia" w:eastAsia="仿宋_GB2312"/>
                <w:sz w:val="24"/>
              </w:rPr>
              <w:t>固体废物</w:t>
            </w:r>
          </w:p>
        </w:tc>
        <w:tc>
          <w:tcPr>
            <w:tcW w:w="4282" w:type="dxa"/>
            <w:noWrap w:val="0"/>
            <w:vAlign w:val="center"/>
          </w:tcPr>
          <w:p>
            <w:pPr>
              <w:spacing w:line="56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危险废物贮存室</w:t>
            </w:r>
          </w:p>
        </w:tc>
        <w:tc>
          <w:tcPr>
            <w:tcW w:w="1559" w:type="dxa"/>
            <w:noWrap w:val="0"/>
            <w:vAlign w:val="center"/>
          </w:tcPr>
          <w:p>
            <w:pPr>
              <w:spacing w:line="56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2002a</w:t>
            </w:r>
          </w:p>
        </w:tc>
        <w:tc>
          <w:tcPr>
            <w:tcW w:w="1701" w:type="dxa"/>
            <w:noWrap w:val="0"/>
            <w:vAlign w:val="center"/>
          </w:tcPr>
          <w:p>
            <w:pPr>
              <w:spacing w:line="56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30t</w:t>
            </w:r>
          </w:p>
        </w:tc>
        <w:tc>
          <w:tcPr>
            <w:tcW w:w="2126" w:type="dxa"/>
            <w:noWrap w:val="0"/>
            <w:vAlign w:val="center"/>
          </w:tcPr>
          <w:p>
            <w:pPr>
              <w:spacing w:line="560" w:lineRule="exact"/>
              <w:ind w:right="-105" w:rightChars="-50" w:firstLine="720" w:firstLineChars="300"/>
              <w:jc w:val="both"/>
              <w:rPr>
                <w:rFonts w:hint="default" w:eastAsia="仿宋_GB2312"/>
                <w:sz w:val="24"/>
                <w:lang w:val="en-US" w:eastAsia="zh-CN"/>
              </w:rPr>
            </w:pPr>
            <w:r>
              <w:rPr>
                <w:rFonts w:hint="eastAsia" w:eastAsia="仿宋_GB2312"/>
                <w:sz w:val="24"/>
                <w:lang w:val="en-US" w:eastAsia="zh-CN"/>
              </w:rPr>
              <w:t>正常</w:t>
            </w:r>
          </w:p>
        </w:tc>
        <w:tc>
          <w:tcPr>
            <w:tcW w:w="1927" w:type="dxa"/>
            <w:noWrap w:val="0"/>
            <w:vAlign w:val="center"/>
          </w:tcPr>
          <w:p>
            <w:pPr>
              <w:spacing w:line="560" w:lineRule="exact"/>
              <w:ind w:left="-105" w:leftChars="-50" w:right="-105" w:rightChars="-50"/>
              <w:jc w:val="center"/>
              <w:rPr>
                <w:rFonts w:eastAsia="仿宋_GB2312"/>
                <w:sz w:val="24"/>
              </w:rPr>
            </w:pPr>
            <w:r>
              <w:rPr>
                <w:rFonts w:hint="eastAsia" w:eastAsia="仿宋_GB2312"/>
                <w:sz w:val="24"/>
                <w:lang w:val="en-US" w:eastAsia="zh-CN"/>
              </w:rPr>
              <w:t>自运维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widowControl/>
              <w:jc w:val="left"/>
              <w:rPr>
                <w:rFonts w:eastAsia="仿宋_GB2312"/>
                <w:sz w:val="24"/>
              </w:rPr>
            </w:pPr>
          </w:p>
        </w:tc>
        <w:tc>
          <w:tcPr>
            <w:tcW w:w="4282" w:type="dxa"/>
            <w:noWrap w:val="0"/>
            <w:vAlign w:val="center"/>
          </w:tcPr>
          <w:p>
            <w:pPr>
              <w:spacing w:line="56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危险废物贮存室2</w:t>
            </w:r>
          </w:p>
        </w:tc>
        <w:tc>
          <w:tcPr>
            <w:tcW w:w="1559" w:type="dxa"/>
            <w:noWrap w:val="0"/>
            <w:vAlign w:val="center"/>
          </w:tcPr>
          <w:p>
            <w:pPr>
              <w:spacing w:line="56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2002a</w:t>
            </w:r>
          </w:p>
        </w:tc>
        <w:tc>
          <w:tcPr>
            <w:tcW w:w="1701" w:type="dxa"/>
            <w:noWrap w:val="0"/>
            <w:vAlign w:val="center"/>
          </w:tcPr>
          <w:p>
            <w:pPr>
              <w:spacing w:line="56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7t</w:t>
            </w:r>
          </w:p>
        </w:tc>
        <w:tc>
          <w:tcPr>
            <w:tcW w:w="2126" w:type="dxa"/>
            <w:noWrap w:val="0"/>
            <w:vAlign w:val="center"/>
          </w:tcPr>
          <w:p>
            <w:pPr>
              <w:spacing w:line="56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正常</w:t>
            </w:r>
          </w:p>
        </w:tc>
        <w:tc>
          <w:tcPr>
            <w:tcW w:w="1927" w:type="dxa"/>
            <w:noWrap w:val="0"/>
            <w:vAlign w:val="center"/>
          </w:tcPr>
          <w:p>
            <w:pPr>
              <w:spacing w:line="56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自运维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noWrap w:val="0"/>
            <w:vAlign w:val="center"/>
          </w:tcPr>
          <w:p>
            <w:pPr>
              <w:widowControl/>
              <w:jc w:val="left"/>
              <w:rPr>
                <w:rFonts w:eastAsia="仿宋_GB2312"/>
                <w:sz w:val="24"/>
              </w:rPr>
            </w:pPr>
          </w:p>
        </w:tc>
        <w:tc>
          <w:tcPr>
            <w:tcW w:w="4282" w:type="dxa"/>
            <w:noWrap w:val="0"/>
            <w:vAlign w:val="center"/>
          </w:tcPr>
          <w:p>
            <w:pPr>
              <w:spacing w:line="560" w:lineRule="exact"/>
              <w:ind w:left="-105" w:leftChars="-50" w:right="-105" w:rightChars="-50"/>
              <w:jc w:val="center"/>
              <w:rPr>
                <w:rFonts w:eastAsia="仿宋_GB2312"/>
                <w:sz w:val="24"/>
              </w:rPr>
            </w:pPr>
            <w:r>
              <w:rPr>
                <w:rFonts w:eastAsia="仿宋_GB2312"/>
                <w:sz w:val="24"/>
              </w:rPr>
              <w:t>……</w:t>
            </w:r>
          </w:p>
        </w:tc>
        <w:tc>
          <w:tcPr>
            <w:tcW w:w="1559" w:type="dxa"/>
            <w:noWrap w:val="0"/>
            <w:vAlign w:val="center"/>
          </w:tcPr>
          <w:p>
            <w:pPr>
              <w:spacing w:line="560" w:lineRule="exact"/>
              <w:ind w:left="-105" w:leftChars="-50" w:right="-105" w:rightChars="-50"/>
              <w:jc w:val="center"/>
              <w:rPr>
                <w:rFonts w:eastAsia="仿宋_GB2312"/>
                <w:sz w:val="24"/>
              </w:rPr>
            </w:pPr>
          </w:p>
        </w:tc>
        <w:tc>
          <w:tcPr>
            <w:tcW w:w="1701" w:type="dxa"/>
            <w:noWrap w:val="0"/>
            <w:vAlign w:val="center"/>
          </w:tcPr>
          <w:p>
            <w:pPr>
              <w:spacing w:line="560" w:lineRule="exact"/>
              <w:ind w:left="-105" w:leftChars="-50" w:right="-105" w:rightChars="-50"/>
              <w:jc w:val="center"/>
              <w:rPr>
                <w:rFonts w:eastAsia="仿宋_GB2312"/>
                <w:sz w:val="24"/>
              </w:rPr>
            </w:pPr>
          </w:p>
        </w:tc>
        <w:tc>
          <w:tcPr>
            <w:tcW w:w="2126" w:type="dxa"/>
            <w:noWrap w:val="0"/>
            <w:vAlign w:val="center"/>
          </w:tcPr>
          <w:p>
            <w:pPr>
              <w:spacing w:line="560" w:lineRule="exact"/>
              <w:ind w:left="-105" w:leftChars="-50" w:right="-105" w:rightChars="-50"/>
              <w:jc w:val="center"/>
              <w:rPr>
                <w:rFonts w:eastAsia="仿宋_GB2312"/>
                <w:sz w:val="24"/>
              </w:rPr>
            </w:pPr>
          </w:p>
        </w:tc>
        <w:tc>
          <w:tcPr>
            <w:tcW w:w="1927" w:type="dxa"/>
            <w:noWrap w:val="0"/>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60" w:type="dxa"/>
            <w:vMerge w:val="restart"/>
            <w:noWrap w:val="0"/>
            <w:vAlign w:val="center"/>
          </w:tcPr>
          <w:p>
            <w:pPr>
              <w:spacing w:line="560" w:lineRule="exact"/>
              <w:ind w:left="-105" w:leftChars="-50" w:right="-105" w:rightChars="-50"/>
              <w:jc w:val="center"/>
              <w:rPr>
                <w:rFonts w:eastAsia="仿宋_GB2312"/>
                <w:sz w:val="24"/>
              </w:rPr>
            </w:pPr>
            <w:r>
              <w:rPr>
                <w:rFonts w:hint="eastAsia" w:eastAsia="仿宋_GB2312"/>
                <w:sz w:val="24"/>
              </w:rPr>
              <w:t>噪声</w:t>
            </w:r>
          </w:p>
        </w:tc>
        <w:tc>
          <w:tcPr>
            <w:tcW w:w="4282" w:type="dxa"/>
            <w:noWrap w:val="0"/>
            <w:vAlign w:val="center"/>
          </w:tcPr>
          <w:p>
            <w:pPr>
              <w:spacing w:line="560" w:lineRule="exact"/>
              <w:ind w:left="-105" w:leftChars="-50" w:right="-105" w:rightChars="-50"/>
              <w:jc w:val="center"/>
              <w:rPr>
                <w:rFonts w:eastAsia="仿宋_GB2312"/>
                <w:sz w:val="24"/>
              </w:rPr>
            </w:pPr>
          </w:p>
        </w:tc>
        <w:tc>
          <w:tcPr>
            <w:tcW w:w="1559" w:type="dxa"/>
            <w:noWrap w:val="0"/>
            <w:vAlign w:val="center"/>
          </w:tcPr>
          <w:p>
            <w:pPr>
              <w:spacing w:line="560" w:lineRule="exact"/>
              <w:ind w:left="-105" w:leftChars="-50" w:right="-105" w:rightChars="-50"/>
              <w:jc w:val="center"/>
              <w:rPr>
                <w:rFonts w:eastAsia="仿宋_GB2312"/>
                <w:sz w:val="24"/>
              </w:rPr>
            </w:pPr>
          </w:p>
        </w:tc>
        <w:tc>
          <w:tcPr>
            <w:tcW w:w="1701" w:type="dxa"/>
            <w:noWrap w:val="0"/>
            <w:vAlign w:val="center"/>
          </w:tcPr>
          <w:p>
            <w:pPr>
              <w:spacing w:line="560" w:lineRule="exact"/>
              <w:ind w:left="-105" w:leftChars="-50" w:right="-105" w:rightChars="-50"/>
              <w:jc w:val="center"/>
              <w:rPr>
                <w:rFonts w:eastAsia="仿宋_GB2312"/>
                <w:sz w:val="24"/>
              </w:rPr>
            </w:pPr>
          </w:p>
        </w:tc>
        <w:tc>
          <w:tcPr>
            <w:tcW w:w="2126" w:type="dxa"/>
            <w:noWrap w:val="0"/>
            <w:vAlign w:val="center"/>
          </w:tcPr>
          <w:p>
            <w:pPr>
              <w:spacing w:line="560" w:lineRule="exact"/>
              <w:ind w:left="-105" w:leftChars="-50" w:right="-105" w:rightChars="-50"/>
              <w:jc w:val="center"/>
              <w:rPr>
                <w:rFonts w:eastAsia="仿宋_GB2312"/>
                <w:sz w:val="24"/>
              </w:rPr>
            </w:pPr>
          </w:p>
        </w:tc>
        <w:tc>
          <w:tcPr>
            <w:tcW w:w="1927" w:type="dxa"/>
            <w:noWrap w:val="0"/>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560" w:type="dxa"/>
            <w:vMerge w:val="continue"/>
            <w:noWrap w:val="0"/>
            <w:vAlign w:val="center"/>
          </w:tcPr>
          <w:p>
            <w:pPr>
              <w:widowControl/>
              <w:jc w:val="left"/>
              <w:rPr>
                <w:rFonts w:eastAsia="仿宋_GB2312"/>
                <w:sz w:val="24"/>
              </w:rPr>
            </w:pPr>
          </w:p>
        </w:tc>
        <w:tc>
          <w:tcPr>
            <w:tcW w:w="4282" w:type="dxa"/>
            <w:noWrap w:val="0"/>
            <w:vAlign w:val="center"/>
          </w:tcPr>
          <w:p>
            <w:pPr>
              <w:spacing w:line="560" w:lineRule="exact"/>
              <w:ind w:left="-105" w:leftChars="-50" w:right="-105" w:rightChars="-50"/>
              <w:jc w:val="center"/>
              <w:rPr>
                <w:rFonts w:eastAsia="仿宋_GB2312"/>
                <w:sz w:val="24"/>
              </w:rPr>
            </w:pPr>
            <w:r>
              <w:rPr>
                <w:rFonts w:eastAsia="仿宋_GB2312"/>
                <w:sz w:val="24"/>
              </w:rPr>
              <w:t>……</w:t>
            </w:r>
          </w:p>
        </w:tc>
        <w:tc>
          <w:tcPr>
            <w:tcW w:w="1559" w:type="dxa"/>
            <w:noWrap w:val="0"/>
            <w:vAlign w:val="center"/>
          </w:tcPr>
          <w:p>
            <w:pPr>
              <w:spacing w:line="560" w:lineRule="exact"/>
              <w:ind w:left="-105" w:leftChars="-50" w:right="-105" w:rightChars="-50"/>
              <w:jc w:val="center"/>
              <w:rPr>
                <w:rFonts w:eastAsia="仿宋_GB2312"/>
                <w:sz w:val="24"/>
              </w:rPr>
            </w:pPr>
          </w:p>
        </w:tc>
        <w:tc>
          <w:tcPr>
            <w:tcW w:w="1701" w:type="dxa"/>
            <w:noWrap w:val="0"/>
            <w:vAlign w:val="center"/>
          </w:tcPr>
          <w:p>
            <w:pPr>
              <w:spacing w:line="560" w:lineRule="exact"/>
              <w:ind w:left="-105" w:leftChars="-50" w:right="-105" w:rightChars="-50"/>
              <w:jc w:val="center"/>
              <w:rPr>
                <w:rFonts w:eastAsia="仿宋_GB2312"/>
                <w:sz w:val="24"/>
              </w:rPr>
            </w:pPr>
          </w:p>
        </w:tc>
        <w:tc>
          <w:tcPr>
            <w:tcW w:w="2126" w:type="dxa"/>
            <w:noWrap w:val="0"/>
            <w:vAlign w:val="center"/>
          </w:tcPr>
          <w:p>
            <w:pPr>
              <w:spacing w:line="560" w:lineRule="exact"/>
              <w:ind w:left="-105" w:leftChars="-50" w:right="-105" w:rightChars="-50"/>
              <w:jc w:val="center"/>
              <w:rPr>
                <w:rFonts w:eastAsia="仿宋_GB2312"/>
                <w:sz w:val="24"/>
              </w:rPr>
            </w:pPr>
          </w:p>
        </w:tc>
        <w:tc>
          <w:tcPr>
            <w:tcW w:w="1927" w:type="dxa"/>
            <w:noWrap w:val="0"/>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560"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其他</w:t>
            </w:r>
          </w:p>
        </w:tc>
        <w:tc>
          <w:tcPr>
            <w:tcW w:w="4282" w:type="dxa"/>
            <w:noWrap w:val="0"/>
            <w:vAlign w:val="center"/>
          </w:tcPr>
          <w:p>
            <w:pPr>
              <w:spacing w:line="560" w:lineRule="exact"/>
              <w:ind w:left="-105" w:leftChars="-50" w:right="-105" w:rightChars="-50"/>
              <w:jc w:val="center"/>
              <w:rPr>
                <w:rFonts w:eastAsia="仿宋_GB2312"/>
                <w:sz w:val="24"/>
              </w:rPr>
            </w:pPr>
          </w:p>
        </w:tc>
        <w:tc>
          <w:tcPr>
            <w:tcW w:w="1559" w:type="dxa"/>
            <w:noWrap w:val="0"/>
            <w:vAlign w:val="center"/>
          </w:tcPr>
          <w:p>
            <w:pPr>
              <w:spacing w:line="560" w:lineRule="exact"/>
              <w:ind w:left="-105" w:leftChars="-50" w:right="-105" w:rightChars="-50"/>
              <w:jc w:val="center"/>
              <w:rPr>
                <w:rFonts w:eastAsia="仿宋_GB2312"/>
                <w:sz w:val="24"/>
              </w:rPr>
            </w:pPr>
          </w:p>
        </w:tc>
        <w:tc>
          <w:tcPr>
            <w:tcW w:w="1701" w:type="dxa"/>
            <w:noWrap w:val="0"/>
            <w:vAlign w:val="center"/>
          </w:tcPr>
          <w:p>
            <w:pPr>
              <w:spacing w:line="560" w:lineRule="exact"/>
              <w:ind w:left="-105" w:leftChars="-50" w:right="-105" w:rightChars="-50"/>
              <w:jc w:val="center"/>
              <w:rPr>
                <w:rFonts w:eastAsia="仿宋_GB2312"/>
                <w:sz w:val="24"/>
              </w:rPr>
            </w:pPr>
          </w:p>
        </w:tc>
        <w:tc>
          <w:tcPr>
            <w:tcW w:w="2126" w:type="dxa"/>
            <w:noWrap w:val="0"/>
            <w:vAlign w:val="center"/>
          </w:tcPr>
          <w:p>
            <w:pPr>
              <w:spacing w:line="560" w:lineRule="exact"/>
              <w:ind w:left="-105" w:leftChars="-50" w:right="-105" w:rightChars="-50"/>
              <w:jc w:val="center"/>
              <w:rPr>
                <w:rFonts w:eastAsia="仿宋_GB2312"/>
                <w:sz w:val="24"/>
              </w:rPr>
            </w:pPr>
          </w:p>
        </w:tc>
        <w:tc>
          <w:tcPr>
            <w:tcW w:w="1927" w:type="dxa"/>
            <w:noWrap w:val="0"/>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560" w:type="dxa"/>
            <w:noWrap w:val="0"/>
            <w:vAlign w:val="center"/>
          </w:tcPr>
          <w:p>
            <w:pPr>
              <w:spacing w:line="560" w:lineRule="exact"/>
              <w:ind w:left="-105" w:leftChars="-50" w:right="-105" w:rightChars="-50"/>
              <w:jc w:val="center"/>
              <w:rPr>
                <w:rFonts w:hint="eastAsia" w:eastAsia="仿宋_GB2312"/>
                <w:sz w:val="24"/>
              </w:rPr>
            </w:pPr>
          </w:p>
        </w:tc>
        <w:tc>
          <w:tcPr>
            <w:tcW w:w="4282" w:type="dxa"/>
            <w:noWrap w:val="0"/>
            <w:vAlign w:val="center"/>
          </w:tcPr>
          <w:p>
            <w:pPr>
              <w:spacing w:line="560" w:lineRule="exact"/>
              <w:ind w:left="-105" w:leftChars="-50" w:right="-105" w:rightChars="-50"/>
              <w:jc w:val="center"/>
              <w:rPr>
                <w:rFonts w:eastAsia="仿宋_GB2312"/>
                <w:sz w:val="24"/>
              </w:rPr>
            </w:pPr>
          </w:p>
        </w:tc>
        <w:tc>
          <w:tcPr>
            <w:tcW w:w="1559" w:type="dxa"/>
            <w:noWrap w:val="0"/>
            <w:vAlign w:val="center"/>
          </w:tcPr>
          <w:p>
            <w:pPr>
              <w:spacing w:line="560" w:lineRule="exact"/>
              <w:ind w:left="-105" w:leftChars="-50" w:right="-105" w:rightChars="-50"/>
              <w:jc w:val="center"/>
              <w:rPr>
                <w:rFonts w:eastAsia="仿宋_GB2312"/>
                <w:sz w:val="24"/>
              </w:rPr>
            </w:pPr>
          </w:p>
        </w:tc>
        <w:tc>
          <w:tcPr>
            <w:tcW w:w="1701" w:type="dxa"/>
            <w:noWrap w:val="0"/>
            <w:vAlign w:val="center"/>
          </w:tcPr>
          <w:p>
            <w:pPr>
              <w:spacing w:line="560" w:lineRule="exact"/>
              <w:ind w:left="-105" w:leftChars="-50" w:right="-105" w:rightChars="-50"/>
              <w:jc w:val="center"/>
              <w:rPr>
                <w:rFonts w:eastAsia="仿宋_GB2312"/>
                <w:sz w:val="24"/>
              </w:rPr>
            </w:pPr>
          </w:p>
        </w:tc>
        <w:tc>
          <w:tcPr>
            <w:tcW w:w="2126" w:type="dxa"/>
            <w:noWrap w:val="0"/>
            <w:vAlign w:val="center"/>
          </w:tcPr>
          <w:p>
            <w:pPr>
              <w:spacing w:line="560" w:lineRule="exact"/>
              <w:ind w:left="-105" w:leftChars="-50" w:right="-105" w:rightChars="-50"/>
              <w:jc w:val="center"/>
              <w:rPr>
                <w:rFonts w:eastAsia="仿宋_GB2312"/>
                <w:sz w:val="24"/>
              </w:rPr>
            </w:pPr>
          </w:p>
        </w:tc>
        <w:tc>
          <w:tcPr>
            <w:tcW w:w="1927" w:type="dxa"/>
            <w:noWrap w:val="0"/>
            <w:vAlign w:val="center"/>
          </w:tcPr>
          <w:p>
            <w:pPr>
              <w:spacing w:line="560" w:lineRule="exact"/>
              <w:ind w:left="-105" w:leftChars="-50" w:right="-105" w:rightChars="-50"/>
              <w:jc w:val="center"/>
              <w:rPr>
                <w:rFonts w:eastAsia="仿宋_GB2312"/>
                <w:sz w:val="24"/>
              </w:rPr>
            </w:pPr>
          </w:p>
        </w:tc>
      </w:tr>
    </w:tbl>
    <w:p>
      <w:pPr>
        <w:spacing w:line="560" w:lineRule="exact"/>
        <w:ind w:firstLine="204" w:firstLineChars="64"/>
        <w:rPr>
          <w:rFonts w:hint="eastAsia" w:eastAsia="黑体"/>
          <w:sz w:val="32"/>
          <w:szCs w:val="32"/>
        </w:rPr>
      </w:pPr>
    </w:p>
    <w:p>
      <w:pPr>
        <w:spacing w:line="560" w:lineRule="exact"/>
        <w:ind w:firstLine="204" w:firstLineChars="64"/>
        <w:rPr>
          <w:rFonts w:hint="eastAsia" w:eastAsia="黑体"/>
          <w:sz w:val="32"/>
          <w:szCs w:val="32"/>
        </w:rPr>
      </w:pPr>
    </w:p>
    <w:p>
      <w:pPr>
        <w:spacing w:line="560" w:lineRule="exact"/>
        <w:ind w:firstLine="204" w:firstLineChars="64"/>
        <w:rPr>
          <w:rFonts w:eastAsia="黑体"/>
          <w:sz w:val="32"/>
          <w:szCs w:val="32"/>
        </w:rPr>
      </w:pPr>
      <w:r>
        <w:rPr>
          <w:rFonts w:hint="eastAsia" w:eastAsia="黑体"/>
          <w:sz w:val="32"/>
          <w:szCs w:val="32"/>
        </w:rPr>
        <w:t>四、建设项目环境影响评价及其他环境保护行政许可情况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2"/>
        <w:gridCol w:w="2013"/>
        <w:gridCol w:w="1531"/>
        <w:gridCol w:w="1531"/>
        <w:gridCol w:w="1729"/>
        <w:gridCol w:w="153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26" w:type="dxa"/>
            <w:gridSpan w:val="7"/>
            <w:noWrap w:val="0"/>
            <w:vAlign w:val="center"/>
          </w:tcPr>
          <w:p>
            <w:pPr>
              <w:spacing w:line="560" w:lineRule="exact"/>
              <w:jc w:val="center"/>
              <w:rPr>
                <w:rFonts w:eastAsia="仿宋_GB2312"/>
                <w:b/>
                <w:sz w:val="28"/>
                <w:szCs w:val="28"/>
              </w:rPr>
            </w:pPr>
            <w:r>
              <w:rPr>
                <w:rFonts w:hint="eastAsia" w:eastAsia="仿宋_GB2312"/>
                <w:b/>
                <w:sz w:val="28"/>
                <w:szCs w:val="28"/>
              </w:rPr>
              <w:t>建设项目环境影响评价及其他环境保护行政许可情况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32"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建设项目名称</w:t>
            </w:r>
          </w:p>
        </w:tc>
        <w:tc>
          <w:tcPr>
            <w:tcW w:w="2013"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环评批复单位</w:t>
            </w:r>
          </w:p>
        </w:tc>
        <w:tc>
          <w:tcPr>
            <w:tcW w:w="1531"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环评批复时间</w:t>
            </w:r>
          </w:p>
        </w:tc>
        <w:tc>
          <w:tcPr>
            <w:tcW w:w="1531"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环评批复文号</w:t>
            </w:r>
          </w:p>
        </w:tc>
        <w:tc>
          <w:tcPr>
            <w:tcW w:w="1729"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竣工验收单位</w:t>
            </w:r>
          </w:p>
        </w:tc>
        <w:tc>
          <w:tcPr>
            <w:tcW w:w="1530"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竣工验收时间</w:t>
            </w:r>
          </w:p>
        </w:tc>
        <w:tc>
          <w:tcPr>
            <w:tcW w:w="1560"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竣工验收文号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noWrap w:val="0"/>
            <w:vAlign w:val="center"/>
          </w:tcPr>
          <w:p>
            <w:pPr>
              <w:spacing w:line="56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高碑店市白沟京泽压铸厂</w:t>
            </w:r>
          </w:p>
        </w:tc>
        <w:tc>
          <w:tcPr>
            <w:tcW w:w="2013" w:type="dxa"/>
            <w:noWrap w:val="0"/>
            <w:vAlign w:val="center"/>
          </w:tcPr>
          <w:p>
            <w:pPr>
              <w:spacing w:line="56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河北省环境保护局</w:t>
            </w:r>
          </w:p>
        </w:tc>
        <w:tc>
          <w:tcPr>
            <w:tcW w:w="1531" w:type="dxa"/>
            <w:noWrap w:val="0"/>
            <w:vAlign w:val="center"/>
          </w:tcPr>
          <w:p>
            <w:pPr>
              <w:spacing w:line="56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2002/4/12</w:t>
            </w:r>
          </w:p>
        </w:tc>
        <w:tc>
          <w:tcPr>
            <w:tcW w:w="1531" w:type="dxa"/>
            <w:noWrap w:val="0"/>
            <w:vAlign w:val="center"/>
          </w:tcPr>
          <w:p>
            <w:pPr>
              <w:spacing w:line="56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冀环管[2002]101号</w:t>
            </w:r>
          </w:p>
        </w:tc>
        <w:tc>
          <w:tcPr>
            <w:tcW w:w="1729" w:type="dxa"/>
            <w:noWrap w:val="0"/>
            <w:vAlign w:val="center"/>
          </w:tcPr>
          <w:p>
            <w:pPr>
              <w:spacing w:line="56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河北省环境保护局</w:t>
            </w:r>
          </w:p>
        </w:tc>
        <w:tc>
          <w:tcPr>
            <w:tcW w:w="1530" w:type="dxa"/>
            <w:noWrap w:val="0"/>
            <w:vAlign w:val="center"/>
          </w:tcPr>
          <w:p>
            <w:pPr>
              <w:spacing w:line="56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2003/9/3</w:t>
            </w:r>
          </w:p>
        </w:tc>
        <w:tc>
          <w:tcPr>
            <w:tcW w:w="1560" w:type="dxa"/>
            <w:noWrap w:val="0"/>
            <w:vAlign w:val="center"/>
          </w:tcPr>
          <w:p>
            <w:pPr>
              <w:spacing w:line="56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环验[2003]018号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noWrap w:val="0"/>
            <w:vAlign w:val="center"/>
          </w:tcPr>
          <w:p>
            <w:pPr>
              <w:spacing w:line="560" w:lineRule="exact"/>
              <w:ind w:left="-105" w:leftChars="-50" w:right="-105" w:rightChars="-50"/>
              <w:jc w:val="center"/>
              <w:rPr>
                <w:rFonts w:eastAsia="仿宋_GB2312"/>
                <w:sz w:val="24"/>
              </w:rPr>
            </w:pPr>
          </w:p>
        </w:tc>
        <w:tc>
          <w:tcPr>
            <w:tcW w:w="2013" w:type="dxa"/>
            <w:noWrap w:val="0"/>
            <w:vAlign w:val="center"/>
          </w:tcPr>
          <w:p>
            <w:pPr>
              <w:spacing w:line="560" w:lineRule="exact"/>
              <w:ind w:left="-105" w:leftChars="-50" w:right="-105" w:rightChars="-50"/>
              <w:jc w:val="center"/>
              <w:rPr>
                <w:rFonts w:eastAsia="仿宋_GB2312"/>
                <w:sz w:val="24"/>
              </w:rPr>
            </w:pPr>
          </w:p>
        </w:tc>
        <w:tc>
          <w:tcPr>
            <w:tcW w:w="1531" w:type="dxa"/>
            <w:noWrap w:val="0"/>
            <w:vAlign w:val="center"/>
          </w:tcPr>
          <w:p>
            <w:pPr>
              <w:spacing w:line="560" w:lineRule="exact"/>
              <w:ind w:left="-105" w:leftChars="-50" w:right="-105" w:rightChars="-50"/>
              <w:jc w:val="center"/>
              <w:rPr>
                <w:rFonts w:eastAsia="仿宋_GB2312"/>
                <w:sz w:val="24"/>
              </w:rPr>
            </w:pPr>
          </w:p>
        </w:tc>
        <w:tc>
          <w:tcPr>
            <w:tcW w:w="1531" w:type="dxa"/>
            <w:noWrap w:val="0"/>
            <w:vAlign w:val="center"/>
          </w:tcPr>
          <w:p>
            <w:pPr>
              <w:spacing w:line="560" w:lineRule="exact"/>
              <w:ind w:left="-105" w:leftChars="-50" w:right="-105" w:rightChars="-50"/>
              <w:jc w:val="center"/>
              <w:rPr>
                <w:rFonts w:eastAsia="仿宋_GB2312"/>
                <w:sz w:val="24"/>
              </w:rPr>
            </w:pPr>
          </w:p>
        </w:tc>
        <w:tc>
          <w:tcPr>
            <w:tcW w:w="1729" w:type="dxa"/>
            <w:noWrap w:val="0"/>
            <w:vAlign w:val="center"/>
          </w:tcPr>
          <w:p>
            <w:pPr>
              <w:spacing w:line="560" w:lineRule="exact"/>
              <w:ind w:left="-105" w:leftChars="-50" w:right="-105" w:rightChars="-50"/>
              <w:jc w:val="center"/>
              <w:rPr>
                <w:rFonts w:eastAsia="仿宋_GB2312"/>
                <w:sz w:val="24"/>
              </w:rPr>
            </w:pPr>
          </w:p>
        </w:tc>
        <w:tc>
          <w:tcPr>
            <w:tcW w:w="1530" w:type="dxa"/>
            <w:noWrap w:val="0"/>
            <w:vAlign w:val="center"/>
          </w:tcPr>
          <w:p>
            <w:pPr>
              <w:spacing w:line="560" w:lineRule="exact"/>
              <w:ind w:left="-105" w:leftChars="-50" w:right="-105" w:rightChars="-50"/>
              <w:jc w:val="center"/>
              <w:rPr>
                <w:rFonts w:eastAsia="仿宋_GB2312"/>
                <w:sz w:val="24"/>
              </w:rPr>
            </w:pPr>
          </w:p>
        </w:tc>
        <w:tc>
          <w:tcPr>
            <w:tcW w:w="1560" w:type="dxa"/>
            <w:noWrap w:val="0"/>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noWrap w:val="0"/>
            <w:vAlign w:val="center"/>
          </w:tcPr>
          <w:p>
            <w:pPr>
              <w:spacing w:line="560" w:lineRule="exact"/>
              <w:ind w:left="-105" w:leftChars="-50" w:right="-105" w:rightChars="-50"/>
              <w:jc w:val="center"/>
              <w:rPr>
                <w:rFonts w:eastAsia="仿宋_GB2312"/>
                <w:sz w:val="24"/>
              </w:rPr>
            </w:pPr>
            <w:r>
              <w:rPr>
                <w:rFonts w:eastAsia="仿宋_GB2312"/>
                <w:sz w:val="24"/>
              </w:rPr>
              <w:t>…</w:t>
            </w:r>
          </w:p>
        </w:tc>
        <w:tc>
          <w:tcPr>
            <w:tcW w:w="2013" w:type="dxa"/>
            <w:noWrap w:val="0"/>
            <w:vAlign w:val="center"/>
          </w:tcPr>
          <w:p>
            <w:pPr>
              <w:spacing w:line="560" w:lineRule="exact"/>
              <w:ind w:left="-105" w:leftChars="-50" w:right="-105" w:rightChars="-50"/>
              <w:jc w:val="center"/>
              <w:rPr>
                <w:rFonts w:eastAsia="仿宋_GB2312"/>
                <w:sz w:val="24"/>
              </w:rPr>
            </w:pPr>
          </w:p>
        </w:tc>
        <w:tc>
          <w:tcPr>
            <w:tcW w:w="1531" w:type="dxa"/>
            <w:noWrap w:val="0"/>
            <w:vAlign w:val="center"/>
          </w:tcPr>
          <w:p>
            <w:pPr>
              <w:spacing w:line="560" w:lineRule="exact"/>
              <w:ind w:left="-105" w:leftChars="-50" w:right="-105" w:rightChars="-50"/>
              <w:jc w:val="center"/>
              <w:rPr>
                <w:rFonts w:eastAsia="仿宋_GB2312"/>
                <w:sz w:val="24"/>
              </w:rPr>
            </w:pPr>
          </w:p>
        </w:tc>
        <w:tc>
          <w:tcPr>
            <w:tcW w:w="1531" w:type="dxa"/>
            <w:noWrap w:val="0"/>
            <w:vAlign w:val="center"/>
          </w:tcPr>
          <w:p>
            <w:pPr>
              <w:spacing w:line="560" w:lineRule="exact"/>
              <w:ind w:left="-105" w:leftChars="-50" w:right="-105" w:rightChars="-50"/>
              <w:jc w:val="center"/>
              <w:rPr>
                <w:rFonts w:eastAsia="仿宋_GB2312"/>
                <w:sz w:val="24"/>
              </w:rPr>
            </w:pPr>
          </w:p>
        </w:tc>
        <w:tc>
          <w:tcPr>
            <w:tcW w:w="1729" w:type="dxa"/>
            <w:noWrap w:val="0"/>
            <w:vAlign w:val="center"/>
          </w:tcPr>
          <w:p>
            <w:pPr>
              <w:spacing w:line="560" w:lineRule="exact"/>
              <w:ind w:left="-105" w:leftChars="-50" w:right="-105" w:rightChars="-50"/>
              <w:jc w:val="center"/>
              <w:rPr>
                <w:rFonts w:eastAsia="仿宋_GB2312"/>
                <w:sz w:val="24"/>
              </w:rPr>
            </w:pPr>
          </w:p>
        </w:tc>
        <w:tc>
          <w:tcPr>
            <w:tcW w:w="1530" w:type="dxa"/>
            <w:noWrap w:val="0"/>
            <w:vAlign w:val="center"/>
          </w:tcPr>
          <w:p>
            <w:pPr>
              <w:spacing w:line="560" w:lineRule="exact"/>
              <w:ind w:left="-105" w:leftChars="-50" w:right="-105" w:rightChars="-50"/>
              <w:jc w:val="center"/>
              <w:rPr>
                <w:rFonts w:eastAsia="仿宋_GB2312"/>
                <w:sz w:val="24"/>
              </w:rPr>
            </w:pPr>
          </w:p>
        </w:tc>
        <w:tc>
          <w:tcPr>
            <w:tcW w:w="1560" w:type="dxa"/>
            <w:noWrap w:val="0"/>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其他环境保护行政许可情况</w:t>
            </w:r>
          </w:p>
        </w:tc>
        <w:tc>
          <w:tcPr>
            <w:tcW w:w="9894" w:type="dxa"/>
            <w:gridSpan w:val="6"/>
            <w:noWrap w:val="0"/>
            <w:vAlign w:val="center"/>
          </w:tcPr>
          <w:p>
            <w:pPr>
              <w:spacing w:line="560" w:lineRule="exact"/>
              <w:ind w:left="-105" w:leftChars="-50" w:right="-105" w:rightChars="-50"/>
              <w:jc w:val="center"/>
              <w:rPr>
                <w:rFonts w:eastAsia="仿宋_GB2312"/>
                <w:sz w:val="24"/>
              </w:rPr>
            </w:pPr>
          </w:p>
        </w:tc>
      </w:tr>
    </w:tbl>
    <w:p>
      <w:pPr>
        <w:pStyle w:val="16"/>
      </w:pPr>
    </w:p>
    <w:p>
      <w:pPr>
        <w:spacing w:line="560" w:lineRule="exact"/>
        <w:ind w:firstLine="204" w:firstLineChars="64"/>
        <w:rPr>
          <w:rFonts w:eastAsia="黑体"/>
          <w:sz w:val="32"/>
          <w:szCs w:val="32"/>
        </w:rPr>
      </w:pPr>
      <w:r>
        <w:rPr>
          <w:rFonts w:hint="eastAsia" w:eastAsia="黑体"/>
          <w:sz w:val="32"/>
          <w:szCs w:val="32"/>
        </w:rPr>
        <w:t>五、突发环境事件应急预案</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3453"/>
        <w:gridCol w:w="2449"/>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54" w:type="dxa"/>
            <w:gridSpan w:val="4"/>
            <w:noWrap w:val="0"/>
            <w:vAlign w:val="center"/>
          </w:tcPr>
          <w:p>
            <w:pPr>
              <w:spacing w:line="560" w:lineRule="exact"/>
              <w:jc w:val="center"/>
              <w:rPr>
                <w:rFonts w:eastAsia="仿宋_GB2312"/>
                <w:b/>
                <w:sz w:val="28"/>
                <w:szCs w:val="28"/>
                <w:highlight w:val="none"/>
              </w:rPr>
            </w:pPr>
            <w:r>
              <w:rPr>
                <w:rFonts w:hint="eastAsia" w:eastAsia="仿宋_GB2312"/>
                <w:b/>
                <w:sz w:val="28"/>
                <w:szCs w:val="28"/>
                <w:highlight w:val="none"/>
              </w:rPr>
              <w:t>突发环境事件应急预案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328" w:type="dxa"/>
            <w:noWrap w:val="0"/>
            <w:vAlign w:val="center"/>
          </w:tcPr>
          <w:p>
            <w:pPr>
              <w:spacing w:line="560" w:lineRule="exact"/>
              <w:ind w:left="-105" w:leftChars="-50" w:right="-105" w:rightChars="-50"/>
              <w:jc w:val="center"/>
              <w:rPr>
                <w:rFonts w:eastAsia="仿宋_GB2312"/>
                <w:sz w:val="24"/>
                <w:highlight w:val="none"/>
              </w:rPr>
            </w:pPr>
            <w:r>
              <w:rPr>
                <w:rFonts w:hint="eastAsia" w:eastAsia="仿宋_GB2312"/>
                <w:sz w:val="24"/>
                <w:highlight w:val="none"/>
              </w:rPr>
              <w:t>备案部门</w:t>
            </w:r>
          </w:p>
        </w:tc>
        <w:tc>
          <w:tcPr>
            <w:tcW w:w="3453" w:type="dxa"/>
            <w:noWrap w:val="0"/>
            <w:vAlign w:val="center"/>
          </w:tcPr>
          <w:p>
            <w:pPr>
              <w:spacing w:line="560" w:lineRule="exact"/>
              <w:ind w:left="-105" w:leftChars="-50" w:right="-105" w:rightChars="-50"/>
              <w:jc w:val="center"/>
              <w:rPr>
                <w:rFonts w:hint="default" w:eastAsia="仿宋_GB2312"/>
                <w:sz w:val="24"/>
                <w:highlight w:val="none"/>
                <w:lang w:val="en-US" w:eastAsia="zh-CN"/>
              </w:rPr>
            </w:pPr>
            <w:r>
              <w:rPr>
                <w:rFonts w:hint="eastAsia" w:eastAsia="仿宋_GB2312"/>
                <w:sz w:val="24"/>
                <w:highlight w:val="none"/>
                <w:lang w:val="en-US" w:eastAsia="zh-CN"/>
              </w:rPr>
              <w:t>保定市生态环境局白沟新城分局</w:t>
            </w:r>
          </w:p>
        </w:tc>
        <w:tc>
          <w:tcPr>
            <w:tcW w:w="2449" w:type="dxa"/>
            <w:noWrap w:val="0"/>
            <w:vAlign w:val="center"/>
          </w:tcPr>
          <w:p>
            <w:pPr>
              <w:spacing w:line="560" w:lineRule="exact"/>
              <w:ind w:left="-105" w:leftChars="-50" w:right="-105" w:rightChars="-50"/>
              <w:jc w:val="center"/>
              <w:rPr>
                <w:rFonts w:eastAsia="仿宋_GB2312"/>
                <w:sz w:val="24"/>
                <w:highlight w:val="none"/>
              </w:rPr>
            </w:pPr>
            <w:r>
              <w:rPr>
                <w:rFonts w:hint="eastAsia" w:eastAsia="仿宋_GB2312"/>
                <w:sz w:val="24"/>
                <w:highlight w:val="none"/>
              </w:rPr>
              <w:t>备案时间</w:t>
            </w:r>
          </w:p>
        </w:tc>
        <w:tc>
          <w:tcPr>
            <w:tcW w:w="6124" w:type="dxa"/>
            <w:noWrap w:val="0"/>
            <w:vAlign w:val="center"/>
          </w:tcPr>
          <w:p>
            <w:pPr>
              <w:spacing w:line="560" w:lineRule="exact"/>
              <w:ind w:left="-105" w:leftChars="-50" w:right="-105" w:rightChars="-50"/>
              <w:jc w:val="center"/>
              <w:rPr>
                <w:rFonts w:hint="default" w:eastAsia="仿宋_GB2312"/>
                <w:sz w:val="24"/>
                <w:highlight w:val="none"/>
                <w:lang w:val="en-US" w:eastAsia="zh-CN"/>
              </w:rPr>
            </w:pPr>
            <w:r>
              <w:rPr>
                <w:rFonts w:hint="eastAsia" w:eastAsia="仿宋_GB2312"/>
                <w:sz w:val="24"/>
                <w:highlight w:val="none"/>
                <w:lang w:val="en-US" w:eastAsia="zh-CN"/>
              </w:rPr>
              <w:t>2020年9月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8" w:type="dxa"/>
            <w:noWrap w:val="0"/>
            <w:vAlign w:val="center"/>
          </w:tcPr>
          <w:p>
            <w:pPr>
              <w:spacing w:line="560" w:lineRule="exact"/>
              <w:ind w:left="-105" w:leftChars="-50" w:right="-105" w:rightChars="-50"/>
              <w:jc w:val="center"/>
              <w:rPr>
                <w:rFonts w:eastAsia="仿宋_GB2312"/>
                <w:sz w:val="24"/>
                <w:highlight w:val="none"/>
              </w:rPr>
            </w:pPr>
            <w:r>
              <w:rPr>
                <w:rFonts w:hint="eastAsia" w:eastAsia="仿宋_GB2312"/>
                <w:sz w:val="24"/>
                <w:highlight w:val="none"/>
              </w:rPr>
              <w:t>主要内容</w:t>
            </w:r>
          </w:p>
        </w:tc>
        <w:tc>
          <w:tcPr>
            <w:tcW w:w="12026" w:type="dxa"/>
            <w:gridSpan w:val="3"/>
            <w:noWrap w:val="0"/>
            <w:vAlign w:val="center"/>
          </w:tcPr>
          <w:p>
            <w:pPr>
              <w:pStyle w:val="2"/>
              <w:widowControl/>
              <w:tabs>
                <w:tab w:val="right" w:leader="dot" w:pos="8505"/>
              </w:tabs>
              <w:spacing w:before="120" w:beforeLines="50" w:after="120" w:afterLines="50" w:line="360" w:lineRule="auto"/>
              <w:ind w:left="0" w:leftChars="0"/>
              <w:jc w:val="left"/>
              <w:outlineLvl w:val="0"/>
              <w:rPr>
                <w:b/>
                <w:bCs/>
                <w:sz w:val="24"/>
                <w:highlight w:val="none"/>
              </w:rPr>
            </w:pPr>
            <w:bookmarkStart w:id="0" w:name="_Toc50554710"/>
            <w:bookmarkStart w:id="1" w:name="_Toc27029"/>
            <w:r>
              <w:rPr>
                <w:b/>
                <w:bCs/>
                <w:sz w:val="24"/>
                <w:highlight w:val="none"/>
              </w:rPr>
              <w:t>1</w:t>
            </w:r>
            <w:r>
              <w:rPr>
                <w:rFonts w:hint="eastAsia"/>
                <w:b/>
                <w:bCs/>
                <w:sz w:val="24"/>
                <w:highlight w:val="none"/>
              </w:rPr>
              <w:t xml:space="preserve"> </w:t>
            </w:r>
            <w:r>
              <w:rPr>
                <w:b/>
                <w:bCs/>
                <w:sz w:val="24"/>
                <w:highlight w:val="none"/>
              </w:rPr>
              <w:t>总则</w:t>
            </w:r>
            <w:bookmarkEnd w:id="0"/>
            <w:bookmarkEnd w:id="1"/>
            <w:bookmarkStart w:id="2" w:name="_Toc177704410"/>
            <w:bookmarkStart w:id="3" w:name="_Toc313023142"/>
            <w:bookmarkStart w:id="4" w:name="_Toc306266589"/>
            <w:bookmarkStart w:id="5" w:name="_Toc268088057"/>
            <w:bookmarkStart w:id="6" w:name="_Toc304533413"/>
          </w:p>
          <w:p>
            <w:pPr>
              <w:spacing w:line="360" w:lineRule="auto"/>
              <w:ind w:firstLine="480" w:firstLineChars="200"/>
              <w:rPr>
                <w:highlight w:val="none"/>
              </w:rPr>
            </w:pPr>
            <w:r>
              <w:rPr>
                <w:rFonts w:hint="eastAsia"/>
                <w:sz w:val="24"/>
                <w:highlight w:val="none"/>
              </w:rPr>
              <w:t>突发环境事件应急预案是我公司为预防、预警和应急处置突发环境事件或由安全生产次生、衍生的各类突发环境事件而制定的应急预案，规范了我公司应对突发环境事件的应急机制，提出了我公司突发环境事件的预防预警和应急处置程序和应对措施，完善了各级政府相关部门和我公司救援抢险队伍的衔接和联动体系，为我公司有效、快速应对环境污染，保障区域环境安全提供科学的应急机制和措施。</w:t>
            </w:r>
          </w:p>
          <w:p>
            <w:pPr>
              <w:pStyle w:val="4"/>
              <w:spacing w:before="0" w:after="0" w:line="360" w:lineRule="auto"/>
              <w:rPr>
                <w:rFonts w:ascii="Times New Roman" w:hAnsi="Times New Roman"/>
                <w:sz w:val="24"/>
                <w:szCs w:val="24"/>
                <w:highlight w:val="none"/>
              </w:rPr>
            </w:pPr>
            <w:bookmarkStart w:id="7" w:name="_Toc6637"/>
            <w:bookmarkStart w:id="8" w:name="_Toc408734735"/>
            <w:bookmarkStart w:id="9" w:name="_Toc5982"/>
            <w:bookmarkStart w:id="10" w:name="_Toc29305"/>
            <w:bookmarkStart w:id="11" w:name="_Toc15019"/>
            <w:bookmarkStart w:id="12" w:name="_Toc50554711"/>
            <w:r>
              <w:rPr>
                <w:rFonts w:ascii="Times New Roman" w:hAnsi="Times New Roman"/>
                <w:sz w:val="24"/>
                <w:szCs w:val="24"/>
                <w:highlight w:val="none"/>
              </w:rPr>
              <w:t>1.1</w:t>
            </w:r>
            <w:r>
              <w:rPr>
                <w:rFonts w:hint="eastAsia" w:ascii="Times New Roman" w:hAnsi="Times New Roman"/>
                <w:sz w:val="24"/>
                <w:szCs w:val="24"/>
                <w:highlight w:val="none"/>
              </w:rPr>
              <w:t xml:space="preserve"> </w:t>
            </w:r>
            <w:r>
              <w:rPr>
                <w:rFonts w:ascii="Times New Roman" w:hAnsi="Times New Roman"/>
                <w:sz w:val="24"/>
                <w:szCs w:val="24"/>
                <w:highlight w:val="none"/>
              </w:rPr>
              <w:t>编制目</w:t>
            </w:r>
            <w:bookmarkEnd w:id="2"/>
            <w:r>
              <w:rPr>
                <w:rFonts w:ascii="Times New Roman" w:hAnsi="Times New Roman"/>
                <w:sz w:val="24"/>
                <w:szCs w:val="24"/>
                <w:highlight w:val="none"/>
              </w:rPr>
              <w:t>的</w:t>
            </w:r>
            <w:bookmarkEnd w:id="3"/>
            <w:bookmarkEnd w:id="4"/>
            <w:bookmarkEnd w:id="5"/>
            <w:bookmarkEnd w:id="6"/>
            <w:bookmarkEnd w:id="7"/>
            <w:bookmarkEnd w:id="8"/>
            <w:bookmarkEnd w:id="9"/>
            <w:bookmarkEnd w:id="10"/>
            <w:bookmarkEnd w:id="11"/>
            <w:bookmarkEnd w:id="12"/>
          </w:p>
          <w:p>
            <w:pPr>
              <w:spacing w:line="360" w:lineRule="auto"/>
              <w:ind w:firstLine="480" w:firstLineChars="200"/>
              <w:rPr>
                <w:sz w:val="24"/>
                <w:highlight w:val="none"/>
              </w:rPr>
            </w:pPr>
            <w:bookmarkStart w:id="13" w:name="_Toc268088058"/>
            <w:r>
              <w:rPr>
                <w:sz w:val="24"/>
                <w:highlight w:val="none"/>
              </w:rPr>
              <w:t>为贯彻落实《中华人民共和国环境保护法》，《中华人民共和国突发事件应对法》、《国家突发环境事件应急预案》及《突发环境事件应急预案管理暂行办法》等相关法律、法规和规章要求，建立健全高碑店市白沟京泽五金饰件厂突发环境事件应急救援体系，提高企业对突发环境事件的预防、应急响应和处置能力，通过实施有效的预防和监控措施，尽可能地避免和减少突发环境事件的发生，通过对突发环境事件的迅速响应和开展有效的应急行动，有效消除、降低突发环境事件的污染危害和影响，特制定本预案。</w:t>
            </w:r>
          </w:p>
          <w:p>
            <w:pPr>
              <w:pStyle w:val="4"/>
              <w:spacing w:before="0" w:after="0" w:line="360" w:lineRule="auto"/>
              <w:rPr>
                <w:rFonts w:ascii="Times New Roman" w:hAnsi="Times New Roman"/>
                <w:sz w:val="24"/>
                <w:szCs w:val="24"/>
                <w:highlight w:val="none"/>
              </w:rPr>
            </w:pPr>
            <w:bookmarkStart w:id="14" w:name="_Toc4019"/>
            <w:bookmarkStart w:id="15" w:name="_Toc306266590"/>
            <w:bookmarkStart w:id="16" w:name="_Toc50554712"/>
            <w:bookmarkStart w:id="17" w:name="_Toc304533414"/>
            <w:bookmarkStart w:id="18" w:name="_Toc408734736"/>
            <w:bookmarkStart w:id="19" w:name="_Toc313023143"/>
            <w:bookmarkStart w:id="20" w:name="_Toc15569"/>
            <w:bookmarkStart w:id="21" w:name="_Toc25242"/>
            <w:bookmarkStart w:id="22" w:name="_Toc10027"/>
            <w:r>
              <w:rPr>
                <w:rFonts w:ascii="Times New Roman" w:hAnsi="Times New Roman"/>
                <w:sz w:val="24"/>
                <w:szCs w:val="24"/>
                <w:highlight w:val="none"/>
              </w:rPr>
              <w:t>1.2</w:t>
            </w:r>
            <w:r>
              <w:rPr>
                <w:rFonts w:hint="eastAsia" w:ascii="Times New Roman" w:hAnsi="Times New Roman"/>
                <w:sz w:val="24"/>
                <w:szCs w:val="24"/>
                <w:highlight w:val="none"/>
              </w:rPr>
              <w:t xml:space="preserve"> </w:t>
            </w:r>
            <w:r>
              <w:rPr>
                <w:rFonts w:ascii="Times New Roman" w:hAnsi="Times New Roman"/>
                <w:sz w:val="24"/>
                <w:szCs w:val="24"/>
                <w:highlight w:val="none"/>
              </w:rPr>
              <w:t>编制依据</w:t>
            </w:r>
            <w:bookmarkEnd w:id="13"/>
            <w:bookmarkEnd w:id="14"/>
            <w:bookmarkEnd w:id="15"/>
            <w:bookmarkEnd w:id="16"/>
            <w:bookmarkEnd w:id="17"/>
            <w:bookmarkEnd w:id="18"/>
            <w:bookmarkEnd w:id="19"/>
            <w:bookmarkEnd w:id="20"/>
            <w:bookmarkEnd w:id="21"/>
            <w:bookmarkEnd w:id="22"/>
          </w:p>
          <w:p>
            <w:pPr>
              <w:spacing w:line="360" w:lineRule="auto"/>
              <w:ind w:firstLine="480" w:firstLineChars="200"/>
              <w:rPr>
                <w:sz w:val="24"/>
                <w:highlight w:val="none"/>
              </w:rPr>
            </w:pPr>
            <w:bookmarkStart w:id="23" w:name="_Toc313023144"/>
            <w:bookmarkStart w:id="24" w:name="_Toc306266591"/>
            <w:r>
              <w:rPr>
                <w:rFonts w:hint="eastAsia"/>
                <w:sz w:val="24"/>
                <w:highlight w:val="none"/>
              </w:rPr>
              <w:t>（1）</w:t>
            </w:r>
            <w:r>
              <w:rPr>
                <w:sz w:val="24"/>
                <w:highlight w:val="none"/>
              </w:rPr>
              <w:t>法律条文：</w:t>
            </w:r>
          </w:p>
          <w:p>
            <w:pPr>
              <w:spacing w:line="360" w:lineRule="auto"/>
              <w:ind w:firstLine="480" w:firstLineChars="200"/>
              <w:rPr>
                <w:sz w:val="24"/>
                <w:highlight w:val="none"/>
              </w:rPr>
            </w:pPr>
            <w:r>
              <w:rPr>
                <w:sz w:val="24"/>
                <w:highlight w:val="none"/>
              </w:rPr>
              <w:t>《中华人民共和国突发事件应对法》</w:t>
            </w:r>
            <w:r>
              <w:rPr>
                <w:rFonts w:hint="eastAsia"/>
                <w:sz w:val="24"/>
                <w:highlight w:val="none"/>
              </w:rPr>
              <w:t>（</w:t>
            </w:r>
            <w:r>
              <w:rPr>
                <w:rStyle w:val="41"/>
                <w:rFonts w:ascii="Times New Roman" w:hAnsi="Times New Roman"/>
                <w:sz w:val="24"/>
                <w:highlight w:val="none"/>
                <w:lang w:eastAsia="zh-CN"/>
              </w:rPr>
              <w:t>2007.11.1</w:t>
            </w:r>
            <w:r>
              <w:rPr>
                <w:rFonts w:hint="eastAsia"/>
                <w:sz w:val="24"/>
                <w:highlight w:val="none"/>
              </w:rPr>
              <w:t>）</w:t>
            </w:r>
          </w:p>
          <w:p>
            <w:pPr>
              <w:spacing w:line="360" w:lineRule="auto"/>
              <w:ind w:firstLine="480" w:firstLineChars="200"/>
              <w:rPr>
                <w:sz w:val="24"/>
                <w:highlight w:val="none"/>
              </w:rPr>
            </w:pPr>
            <w:r>
              <w:rPr>
                <w:sz w:val="24"/>
                <w:highlight w:val="none"/>
              </w:rPr>
              <w:t>《中华人民共和国环境保护法》</w:t>
            </w:r>
            <w:r>
              <w:rPr>
                <w:rFonts w:hint="eastAsia"/>
                <w:sz w:val="24"/>
                <w:highlight w:val="none"/>
              </w:rPr>
              <w:t>（</w:t>
            </w:r>
            <w:r>
              <w:rPr>
                <w:rStyle w:val="41"/>
                <w:rFonts w:ascii="Times New Roman" w:hAnsi="Times New Roman"/>
                <w:sz w:val="24"/>
                <w:highlight w:val="none"/>
                <w:lang w:eastAsia="zh-CN"/>
              </w:rPr>
              <w:t>2015.1.1</w:t>
            </w:r>
            <w:r>
              <w:rPr>
                <w:rFonts w:hint="eastAsia"/>
                <w:sz w:val="24"/>
                <w:highlight w:val="none"/>
              </w:rPr>
              <w:t>）</w:t>
            </w:r>
          </w:p>
          <w:p>
            <w:pPr>
              <w:spacing w:line="360" w:lineRule="auto"/>
              <w:ind w:firstLine="480" w:firstLineChars="200"/>
              <w:rPr>
                <w:sz w:val="24"/>
                <w:highlight w:val="none"/>
              </w:rPr>
            </w:pPr>
            <w:r>
              <w:rPr>
                <w:sz w:val="24"/>
                <w:highlight w:val="none"/>
              </w:rPr>
              <w:t>《中华人民共和国大气污染防治法》</w:t>
            </w:r>
            <w:r>
              <w:rPr>
                <w:rFonts w:hint="eastAsia"/>
                <w:sz w:val="24"/>
                <w:highlight w:val="none"/>
              </w:rPr>
              <w:t>（</w:t>
            </w:r>
            <w:r>
              <w:rPr>
                <w:rStyle w:val="41"/>
                <w:rFonts w:ascii="Times New Roman" w:hAnsi="Times New Roman"/>
                <w:sz w:val="24"/>
                <w:highlight w:val="none"/>
                <w:lang w:eastAsia="zh-CN"/>
              </w:rPr>
              <w:t>20</w:t>
            </w:r>
            <w:r>
              <w:rPr>
                <w:rStyle w:val="41"/>
                <w:rFonts w:hint="eastAsia" w:ascii="Times New Roman" w:hAnsi="Times New Roman" w:eastAsia="宋体"/>
                <w:sz w:val="24"/>
                <w:highlight w:val="none"/>
                <w:lang w:eastAsia="zh-CN"/>
              </w:rPr>
              <w:t>16</w:t>
            </w:r>
            <w:r>
              <w:rPr>
                <w:rStyle w:val="41"/>
                <w:rFonts w:ascii="Times New Roman" w:hAnsi="Times New Roman"/>
                <w:sz w:val="24"/>
                <w:highlight w:val="none"/>
                <w:lang w:eastAsia="zh-CN"/>
              </w:rPr>
              <w:t>.</w:t>
            </w:r>
            <w:r>
              <w:rPr>
                <w:rStyle w:val="41"/>
                <w:rFonts w:hint="eastAsia" w:ascii="Times New Roman" w:hAnsi="Times New Roman" w:eastAsia="宋体"/>
                <w:sz w:val="24"/>
                <w:highlight w:val="none"/>
                <w:lang w:eastAsia="zh-CN"/>
              </w:rPr>
              <w:t>1</w:t>
            </w:r>
            <w:r>
              <w:rPr>
                <w:rStyle w:val="41"/>
                <w:rFonts w:ascii="Times New Roman" w:hAnsi="Times New Roman"/>
                <w:sz w:val="24"/>
                <w:highlight w:val="none"/>
                <w:lang w:eastAsia="zh-CN"/>
              </w:rPr>
              <w:t>.1</w:t>
            </w:r>
            <w:r>
              <w:rPr>
                <w:rFonts w:hint="eastAsia"/>
                <w:sz w:val="24"/>
                <w:highlight w:val="none"/>
              </w:rPr>
              <w:t>）</w:t>
            </w:r>
          </w:p>
          <w:p>
            <w:pPr>
              <w:spacing w:line="360" w:lineRule="auto"/>
              <w:ind w:firstLine="480" w:firstLineChars="200"/>
              <w:rPr>
                <w:sz w:val="24"/>
                <w:highlight w:val="none"/>
              </w:rPr>
            </w:pPr>
            <w:r>
              <w:rPr>
                <w:sz w:val="24"/>
                <w:highlight w:val="none"/>
              </w:rPr>
              <w:t>《中华人民共和国水污染防治法》</w:t>
            </w:r>
            <w:r>
              <w:rPr>
                <w:rFonts w:hint="eastAsia"/>
                <w:sz w:val="24"/>
                <w:highlight w:val="none"/>
              </w:rPr>
              <w:t>（</w:t>
            </w:r>
            <w:r>
              <w:rPr>
                <w:rStyle w:val="41"/>
                <w:rFonts w:ascii="Times New Roman" w:hAnsi="Times New Roman"/>
                <w:sz w:val="24"/>
                <w:highlight w:val="none"/>
                <w:lang w:eastAsia="zh-CN"/>
              </w:rPr>
              <w:t>20</w:t>
            </w:r>
            <w:r>
              <w:rPr>
                <w:rStyle w:val="41"/>
                <w:rFonts w:hint="eastAsia" w:ascii="Times New Roman" w:hAnsi="Times New Roman"/>
                <w:sz w:val="24"/>
                <w:highlight w:val="none"/>
                <w:lang w:eastAsia="zh-CN"/>
              </w:rPr>
              <w:t>18</w:t>
            </w:r>
            <w:r>
              <w:rPr>
                <w:rStyle w:val="41"/>
                <w:rFonts w:ascii="Times New Roman" w:hAnsi="Times New Roman"/>
                <w:sz w:val="24"/>
                <w:highlight w:val="none"/>
                <w:lang w:eastAsia="zh-CN"/>
              </w:rPr>
              <w:t>.</w:t>
            </w:r>
            <w:r>
              <w:rPr>
                <w:rStyle w:val="41"/>
                <w:rFonts w:hint="eastAsia" w:ascii="Times New Roman" w:hAnsi="Times New Roman"/>
                <w:sz w:val="24"/>
                <w:highlight w:val="none"/>
                <w:lang w:eastAsia="zh-CN"/>
              </w:rPr>
              <w:t>1</w:t>
            </w:r>
            <w:r>
              <w:rPr>
                <w:rStyle w:val="41"/>
                <w:rFonts w:ascii="Times New Roman" w:hAnsi="Times New Roman"/>
                <w:sz w:val="24"/>
                <w:highlight w:val="none"/>
                <w:lang w:eastAsia="zh-CN"/>
              </w:rPr>
              <w:t>.</w:t>
            </w:r>
            <w:r>
              <w:rPr>
                <w:rStyle w:val="41"/>
                <w:rFonts w:hint="eastAsia" w:ascii="Times New Roman" w:hAnsi="Times New Roman"/>
                <w:sz w:val="24"/>
                <w:highlight w:val="none"/>
                <w:lang w:eastAsia="zh-CN"/>
              </w:rPr>
              <w:t>1</w:t>
            </w:r>
            <w:r>
              <w:rPr>
                <w:rFonts w:hint="eastAsia"/>
                <w:sz w:val="24"/>
                <w:highlight w:val="none"/>
              </w:rPr>
              <w:t>）</w:t>
            </w:r>
          </w:p>
          <w:p>
            <w:pPr>
              <w:spacing w:line="360" w:lineRule="auto"/>
              <w:ind w:firstLine="480" w:firstLineChars="200"/>
              <w:rPr>
                <w:sz w:val="24"/>
                <w:highlight w:val="none"/>
              </w:rPr>
            </w:pPr>
            <w:r>
              <w:rPr>
                <w:sz w:val="24"/>
                <w:highlight w:val="none"/>
              </w:rPr>
              <w:t>《中华人民共和国固体废物污染环境防治法》</w:t>
            </w:r>
            <w:r>
              <w:rPr>
                <w:rFonts w:hint="eastAsia"/>
                <w:sz w:val="24"/>
                <w:highlight w:val="none"/>
              </w:rPr>
              <w:t>（2015.4.24）</w:t>
            </w:r>
          </w:p>
          <w:p>
            <w:pPr>
              <w:spacing w:line="360" w:lineRule="auto"/>
              <w:ind w:firstLine="480" w:firstLineChars="200"/>
              <w:rPr>
                <w:sz w:val="24"/>
                <w:highlight w:val="none"/>
              </w:rPr>
            </w:pPr>
            <w:r>
              <w:rPr>
                <w:rFonts w:hint="eastAsia"/>
                <w:sz w:val="24"/>
                <w:highlight w:val="none"/>
              </w:rPr>
              <w:t>（2）</w:t>
            </w:r>
            <w:r>
              <w:rPr>
                <w:sz w:val="24"/>
                <w:highlight w:val="none"/>
              </w:rPr>
              <w:t>法规及规章标准条文：</w:t>
            </w:r>
          </w:p>
          <w:p>
            <w:pPr>
              <w:spacing w:line="360" w:lineRule="auto"/>
              <w:ind w:firstLine="480" w:firstLineChars="200"/>
              <w:rPr>
                <w:sz w:val="24"/>
                <w:highlight w:val="none"/>
              </w:rPr>
            </w:pPr>
            <w:r>
              <w:rPr>
                <w:sz w:val="24"/>
                <w:highlight w:val="none"/>
              </w:rPr>
              <w:t>《国家突发公共事件总体应急预案》</w:t>
            </w:r>
            <w:r>
              <w:rPr>
                <w:rFonts w:hint="eastAsia"/>
                <w:sz w:val="24"/>
                <w:highlight w:val="none"/>
              </w:rPr>
              <w:t>（</w:t>
            </w:r>
            <w:r>
              <w:rPr>
                <w:sz w:val="24"/>
                <w:highlight w:val="none"/>
              </w:rPr>
              <w:t>2006</w:t>
            </w:r>
            <w:r>
              <w:rPr>
                <w:rFonts w:hint="eastAsia"/>
                <w:sz w:val="24"/>
                <w:highlight w:val="none"/>
              </w:rPr>
              <w:t>.1.8）</w:t>
            </w:r>
          </w:p>
          <w:p>
            <w:pPr>
              <w:spacing w:line="360" w:lineRule="auto"/>
              <w:ind w:firstLine="480" w:firstLineChars="200"/>
              <w:rPr>
                <w:sz w:val="24"/>
                <w:highlight w:val="none"/>
              </w:rPr>
            </w:pPr>
            <w:r>
              <w:rPr>
                <w:sz w:val="24"/>
                <w:highlight w:val="none"/>
              </w:rPr>
              <w:t>《国家突发环境事件应急预案》</w:t>
            </w:r>
            <w:r>
              <w:rPr>
                <w:rFonts w:hint="eastAsia"/>
                <w:sz w:val="24"/>
                <w:highlight w:val="none"/>
              </w:rPr>
              <w:t>（</w:t>
            </w:r>
            <w:r>
              <w:rPr>
                <w:sz w:val="24"/>
                <w:highlight w:val="none"/>
              </w:rPr>
              <w:t>国务院令第34号令</w:t>
            </w:r>
            <w:r>
              <w:rPr>
                <w:rFonts w:hint="eastAsia"/>
                <w:sz w:val="24"/>
                <w:highlight w:val="none"/>
              </w:rPr>
              <w:t>）</w:t>
            </w:r>
          </w:p>
          <w:p>
            <w:pPr>
              <w:spacing w:line="360" w:lineRule="auto"/>
              <w:ind w:firstLine="480" w:firstLineChars="200"/>
              <w:rPr>
                <w:sz w:val="24"/>
                <w:highlight w:val="none"/>
              </w:rPr>
            </w:pPr>
            <w:bookmarkStart w:id="25" w:name="_Toc331596153"/>
            <w:r>
              <w:rPr>
                <w:sz w:val="24"/>
                <w:highlight w:val="none"/>
              </w:rPr>
              <w:t>《突发环境事件应急预案管理暂行办法》</w:t>
            </w:r>
            <w:bookmarkEnd w:id="25"/>
            <w:r>
              <w:rPr>
                <w:rFonts w:hint="eastAsia"/>
                <w:sz w:val="24"/>
                <w:highlight w:val="none"/>
              </w:rPr>
              <w:t>（</w:t>
            </w:r>
            <w:r>
              <w:rPr>
                <w:sz w:val="24"/>
                <w:highlight w:val="none"/>
              </w:rPr>
              <w:t>环发[2010]113号</w:t>
            </w:r>
            <w:r>
              <w:rPr>
                <w:rFonts w:hint="eastAsia"/>
                <w:sz w:val="24"/>
                <w:highlight w:val="none"/>
              </w:rPr>
              <w:t>）</w:t>
            </w:r>
          </w:p>
          <w:p>
            <w:pPr>
              <w:spacing w:line="360" w:lineRule="auto"/>
              <w:ind w:firstLine="480" w:firstLineChars="200"/>
              <w:rPr>
                <w:kern w:val="0"/>
                <w:sz w:val="24"/>
                <w:highlight w:val="none"/>
                <w:shd w:val="clear" w:color="auto" w:fill="FFFFFF"/>
              </w:rPr>
            </w:pPr>
            <w:r>
              <w:rPr>
                <w:kern w:val="0"/>
                <w:sz w:val="24"/>
                <w:highlight w:val="none"/>
                <w:shd w:val="clear" w:color="auto" w:fill="FFFFFF"/>
              </w:rPr>
              <w:t>《河北省突发事件预警信息发布管理办法》</w:t>
            </w:r>
          </w:p>
          <w:p>
            <w:pPr>
              <w:spacing w:line="360" w:lineRule="auto"/>
              <w:ind w:firstLine="480" w:firstLineChars="200"/>
              <w:rPr>
                <w:kern w:val="0"/>
                <w:sz w:val="24"/>
                <w:highlight w:val="none"/>
                <w:shd w:val="clear" w:color="auto" w:fill="FFFFFF"/>
              </w:rPr>
            </w:pPr>
            <w:r>
              <w:rPr>
                <w:sz w:val="24"/>
                <w:highlight w:val="none"/>
              </w:rPr>
              <w:t>《</w:t>
            </w:r>
            <w:r>
              <w:rPr>
                <w:sz w:val="24"/>
                <w:highlight w:val="none"/>
              </w:rPr>
              <w:fldChar w:fldCharType="begin"/>
            </w:r>
            <w:r>
              <w:rPr>
                <w:sz w:val="24"/>
                <w:highlight w:val="none"/>
              </w:rPr>
              <w:instrText xml:space="preserve"> HYPERLINK "http://www.baidu.com/link?url=LP_-AYSKtvQab6fe_6--19w9VmtASzPYjA3Jx_zQZifxq3CVIuu5JKFWn6UJoZkZTI6DwVqDdk82lPN0BEcecKfOMRSq9ZdmfBy7Ok6dXjVVECXMr4vT_EcrtwhBpckW-QjcsBR6mhl-Ho9BZzmFN7sSSdN3sQjUGGyPsUBTEB0-peDxaKDTUwXkM7TeocX2tL9mOale0mosFRIJXLzqBQlKBuJHa89hAM_RDncuxnBPlXAcw2BSiqTRERYyIJZTc2mrKuQQgVYiNwsfmipIs79kBmj98CT8YZxfCa-aB-zdvuOO5ui7DK-u_wyc37yI22vzv1aYHiJeVmgcqnk0z0dsxiZIQPGAo3byCaGwbn2J8esek7SaMINtS7MbWUEa" \t "_blank" </w:instrText>
            </w:r>
            <w:r>
              <w:rPr>
                <w:sz w:val="24"/>
                <w:highlight w:val="none"/>
              </w:rPr>
              <w:fldChar w:fldCharType="separate"/>
            </w:r>
            <w:r>
              <w:rPr>
                <w:rStyle w:val="15"/>
                <w:color w:val="auto"/>
                <w:sz w:val="24"/>
                <w:highlight w:val="none"/>
                <w:u w:val="none"/>
              </w:rPr>
              <w:t>企业事业单位突发环境事件应急预案备案管理办法</w:t>
            </w:r>
            <w:r>
              <w:rPr>
                <w:rStyle w:val="15"/>
                <w:rFonts w:hint="eastAsia"/>
                <w:color w:val="auto"/>
                <w:sz w:val="24"/>
                <w:highlight w:val="none"/>
                <w:u w:val="none"/>
              </w:rPr>
              <w:t>(</w:t>
            </w:r>
            <w:r>
              <w:rPr>
                <w:rStyle w:val="15"/>
                <w:color w:val="auto"/>
                <w:sz w:val="24"/>
                <w:highlight w:val="none"/>
                <w:u w:val="none"/>
              </w:rPr>
              <w:t>试行</w:t>
            </w:r>
            <w:r>
              <w:rPr>
                <w:rStyle w:val="15"/>
                <w:rFonts w:hint="eastAsia"/>
                <w:color w:val="auto"/>
                <w:sz w:val="24"/>
                <w:highlight w:val="none"/>
                <w:u w:val="none"/>
              </w:rPr>
              <w:t>)</w:t>
            </w:r>
            <w:r>
              <w:rPr>
                <w:sz w:val="24"/>
                <w:highlight w:val="none"/>
              </w:rPr>
              <w:fldChar w:fldCharType="end"/>
            </w:r>
            <w:r>
              <w:rPr>
                <w:sz w:val="24"/>
                <w:highlight w:val="none"/>
              </w:rPr>
              <w:t>》</w:t>
            </w:r>
          </w:p>
          <w:p>
            <w:pPr>
              <w:spacing w:line="360" w:lineRule="auto"/>
              <w:ind w:firstLine="480" w:firstLineChars="200"/>
              <w:rPr>
                <w:spacing w:val="-3"/>
                <w:kern w:val="0"/>
                <w:sz w:val="24"/>
                <w:highlight w:val="none"/>
                <w:shd w:val="clear" w:color="auto" w:fill="FFFFFF"/>
              </w:rPr>
            </w:pPr>
            <w:r>
              <w:rPr>
                <w:kern w:val="0"/>
                <w:sz w:val="24"/>
                <w:highlight w:val="none"/>
                <w:shd w:val="clear" w:color="auto" w:fill="FFFFFF"/>
              </w:rPr>
              <w:t>《河北省突发环境事件应急预案》</w:t>
            </w:r>
            <w:r>
              <w:rPr>
                <w:rFonts w:hint="eastAsia"/>
                <w:kern w:val="0"/>
                <w:sz w:val="24"/>
                <w:highlight w:val="none"/>
                <w:shd w:val="clear" w:color="auto" w:fill="FFFFFF"/>
              </w:rPr>
              <w:t>（</w:t>
            </w:r>
            <w:r>
              <w:rPr>
                <w:sz w:val="24"/>
                <w:highlight w:val="none"/>
                <w:shd w:val="clear" w:color="auto" w:fill="FFFFFF"/>
              </w:rPr>
              <w:t>冀政办[2006]3号</w:t>
            </w:r>
            <w:r>
              <w:rPr>
                <w:rFonts w:hint="eastAsia"/>
                <w:kern w:val="0"/>
                <w:sz w:val="24"/>
                <w:highlight w:val="none"/>
                <w:shd w:val="clear" w:color="auto" w:fill="FFFFFF"/>
              </w:rPr>
              <w:t>）</w:t>
            </w:r>
          </w:p>
          <w:p>
            <w:pPr>
              <w:spacing w:line="360" w:lineRule="auto"/>
              <w:ind w:firstLine="480" w:firstLineChars="200"/>
              <w:rPr>
                <w:sz w:val="24"/>
                <w:highlight w:val="none"/>
              </w:rPr>
            </w:pPr>
            <w:bookmarkStart w:id="26" w:name="_Toc332008290"/>
            <w:bookmarkStart w:id="27" w:name="_Toc403977329"/>
            <w:bookmarkStart w:id="28" w:name="_Toc335483176"/>
            <w:bookmarkStart w:id="29" w:name="_Toc331596154"/>
            <w:bookmarkStart w:id="30" w:name="_Toc335903625"/>
            <w:bookmarkStart w:id="31" w:name="_Toc334451358"/>
            <w:bookmarkStart w:id="32" w:name="_Toc331607652"/>
            <w:bookmarkStart w:id="33" w:name="_Toc340493610"/>
            <w:bookmarkStart w:id="34" w:name="_Toc331607695"/>
            <w:bookmarkStart w:id="35" w:name="_Toc335483278"/>
            <w:bookmarkStart w:id="36" w:name="_Toc332719686"/>
            <w:bookmarkStart w:id="37" w:name="_Toc334535979"/>
            <w:bookmarkStart w:id="38" w:name="_Toc408734737"/>
            <w:bookmarkStart w:id="39" w:name="_Toc332264814"/>
            <w:bookmarkStart w:id="40" w:name="_Toc332264943"/>
            <w:bookmarkStart w:id="41" w:name="_Toc334608785"/>
            <w:bookmarkStart w:id="42" w:name="_Toc11364"/>
            <w:bookmarkStart w:id="43" w:name="_Toc332702313"/>
            <w:r>
              <w:rPr>
                <w:sz w:val="24"/>
                <w:highlight w:val="none"/>
              </w:rPr>
              <w:t>《突发环境事件信息报告办法》</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hint="eastAsia"/>
                <w:sz w:val="24"/>
                <w:highlight w:val="none"/>
              </w:rPr>
              <w:t>（</w:t>
            </w:r>
            <w:r>
              <w:rPr>
                <w:sz w:val="24"/>
                <w:highlight w:val="none"/>
              </w:rPr>
              <w:t>环保部令 第17号</w:t>
            </w:r>
            <w:r>
              <w:rPr>
                <w:rFonts w:hint="eastAsia"/>
                <w:sz w:val="24"/>
                <w:highlight w:val="none"/>
              </w:rPr>
              <w:t>）</w:t>
            </w:r>
          </w:p>
          <w:p>
            <w:pPr>
              <w:spacing w:line="360" w:lineRule="auto"/>
              <w:ind w:firstLine="480" w:firstLineChars="200"/>
              <w:rPr>
                <w:sz w:val="24"/>
                <w:highlight w:val="none"/>
              </w:rPr>
            </w:pPr>
            <w:r>
              <w:rPr>
                <w:sz w:val="24"/>
                <w:highlight w:val="none"/>
              </w:rPr>
              <w:t>《危险化学品</w:t>
            </w:r>
            <w:r>
              <w:rPr>
                <w:rFonts w:hint="eastAsia"/>
                <w:sz w:val="24"/>
                <w:highlight w:val="none"/>
              </w:rPr>
              <w:t>环保负责人</w:t>
            </w:r>
            <w:r>
              <w:rPr>
                <w:sz w:val="24"/>
                <w:highlight w:val="none"/>
              </w:rPr>
              <w:t>条例》</w:t>
            </w:r>
            <w:r>
              <w:rPr>
                <w:rFonts w:hint="eastAsia"/>
                <w:sz w:val="24"/>
                <w:highlight w:val="none"/>
              </w:rPr>
              <w:t>（</w:t>
            </w:r>
            <w:r>
              <w:rPr>
                <w:sz w:val="24"/>
                <w:highlight w:val="none"/>
              </w:rPr>
              <w:t>国务院令第591号</w:t>
            </w:r>
            <w:r>
              <w:rPr>
                <w:rFonts w:hint="eastAsia"/>
                <w:sz w:val="24"/>
                <w:highlight w:val="none"/>
              </w:rPr>
              <w:t>）</w:t>
            </w:r>
          </w:p>
          <w:p>
            <w:pPr>
              <w:spacing w:line="360" w:lineRule="auto"/>
              <w:ind w:firstLine="480" w:firstLineChars="200"/>
              <w:rPr>
                <w:sz w:val="24"/>
                <w:highlight w:val="none"/>
              </w:rPr>
            </w:pPr>
            <w:r>
              <w:rPr>
                <w:sz w:val="24"/>
                <w:highlight w:val="none"/>
              </w:rPr>
              <w:t>《危险化学品目录(2015版</w:t>
            </w:r>
            <w:r>
              <w:rPr>
                <w:rFonts w:hint="eastAsia"/>
                <w:sz w:val="24"/>
                <w:highlight w:val="none"/>
              </w:rPr>
              <w:t>)</w:t>
            </w:r>
            <w:r>
              <w:rPr>
                <w:sz w:val="24"/>
                <w:highlight w:val="none"/>
              </w:rPr>
              <w:t>》</w:t>
            </w:r>
            <w:r>
              <w:rPr>
                <w:rFonts w:hint="eastAsia"/>
                <w:sz w:val="24"/>
                <w:highlight w:val="none"/>
              </w:rPr>
              <w:t>（</w:t>
            </w:r>
            <w:r>
              <w:rPr>
                <w:rFonts w:eastAsia="sans-serif"/>
                <w:sz w:val="24"/>
                <w:highlight w:val="none"/>
                <w:shd w:val="clear" w:color="auto" w:fill="FFFFFF"/>
              </w:rPr>
              <w:t>安全监管总局会同工业和信息化部、公安部、环境保护部、交通运输部、农业部、国家卫生计生委、质检总局、铁路局、民航局</w:t>
            </w:r>
            <w:r>
              <w:rPr>
                <w:sz w:val="24"/>
                <w:highlight w:val="none"/>
                <w:shd w:val="clear" w:color="auto" w:fill="FFFFFF"/>
              </w:rPr>
              <w:t>公告2015第5号</w:t>
            </w:r>
            <w:r>
              <w:rPr>
                <w:rFonts w:hint="eastAsia"/>
                <w:sz w:val="24"/>
                <w:highlight w:val="none"/>
              </w:rPr>
              <w:t>）</w:t>
            </w:r>
          </w:p>
          <w:p>
            <w:pPr>
              <w:spacing w:line="360" w:lineRule="auto"/>
              <w:ind w:firstLine="480" w:firstLineChars="200"/>
              <w:rPr>
                <w:sz w:val="24"/>
                <w:highlight w:val="none"/>
              </w:rPr>
            </w:pPr>
            <w:r>
              <w:rPr>
                <w:sz w:val="24"/>
                <w:highlight w:val="none"/>
              </w:rPr>
              <w:t>《危险化学品重大危险源辨识》</w:t>
            </w:r>
            <w:r>
              <w:rPr>
                <w:rFonts w:hint="eastAsia"/>
                <w:sz w:val="24"/>
                <w:highlight w:val="none"/>
              </w:rPr>
              <w:t>（</w:t>
            </w:r>
            <w:r>
              <w:rPr>
                <w:sz w:val="24"/>
                <w:highlight w:val="none"/>
              </w:rPr>
              <w:t>GB18218-2014</w:t>
            </w:r>
            <w:r>
              <w:rPr>
                <w:rFonts w:hint="eastAsia"/>
                <w:sz w:val="24"/>
                <w:highlight w:val="none"/>
              </w:rPr>
              <w:t>）</w:t>
            </w:r>
          </w:p>
          <w:p>
            <w:pPr>
              <w:spacing w:line="360" w:lineRule="auto"/>
              <w:ind w:firstLine="480" w:firstLineChars="200"/>
              <w:rPr>
                <w:sz w:val="24"/>
                <w:highlight w:val="none"/>
              </w:rPr>
            </w:pPr>
            <w:r>
              <w:rPr>
                <w:sz w:val="24"/>
                <w:highlight w:val="none"/>
              </w:rPr>
              <w:t>《关于进一步做好突发环境事件应急预案备案工作的通知》</w:t>
            </w:r>
          </w:p>
          <w:p>
            <w:pPr>
              <w:spacing w:line="360" w:lineRule="auto"/>
              <w:ind w:firstLine="480" w:firstLineChars="200"/>
              <w:rPr>
                <w:sz w:val="24"/>
                <w:highlight w:val="none"/>
              </w:rPr>
            </w:pPr>
            <w:r>
              <w:rPr>
                <w:sz w:val="24"/>
                <w:highlight w:val="none"/>
              </w:rPr>
              <w:t>《建设项目环境风险评价技术导则》</w:t>
            </w:r>
            <w:r>
              <w:rPr>
                <w:rFonts w:hint="eastAsia"/>
                <w:sz w:val="24"/>
                <w:highlight w:val="none"/>
              </w:rPr>
              <w:t>（</w:t>
            </w:r>
            <w:r>
              <w:rPr>
                <w:sz w:val="24"/>
                <w:highlight w:val="none"/>
              </w:rPr>
              <w:t>HJ/T 169-2004</w:t>
            </w:r>
            <w:r>
              <w:rPr>
                <w:rFonts w:hint="eastAsia"/>
                <w:sz w:val="24"/>
                <w:highlight w:val="none"/>
              </w:rPr>
              <w:t>）</w:t>
            </w:r>
          </w:p>
          <w:p>
            <w:pPr>
              <w:spacing w:line="360" w:lineRule="auto"/>
              <w:ind w:firstLine="480" w:firstLineChars="200"/>
              <w:rPr>
                <w:sz w:val="24"/>
                <w:highlight w:val="none"/>
              </w:rPr>
            </w:pPr>
            <w:r>
              <w:rPr>
                <w:sz w:val="24"/>
                <w:highlight w:val="none"/>
              </w:rPr>
              <w:t>《关于进一步做好突发环境事件应急预案备案工作的通知</w:t>
            </w:r>
            <w:r>
              <w:rPr>
                <w:rFonts w:hint="eastAsia"/>
                <w:sz w:val="24"/>
                <w:highlight w:val="none"/>
              </w:rPr>
              <w:t>》（</w:t>
            </w:r>
            <w:r>
              <w:rPr>
                <w:sz w:val="24"/>
                <w:highlight w:val="none"/>
              </w:rPr>
              <w:t>冀环办发[2012]164号</w:t>
            </w:r>
            <w:r>
              <w:rPr>
                <w:rFonts w:hint="eastAsia"/>
                <w:sz w:val="24"/>
                <w:highlight w:val="none"/>
              </w:rPr>
              <w:t>）</w:t>
            </w:r>
          </w:p>
          <w:p>
            <w:pPr>
              <w:spacing w:line="360" w:lineRule="auto"/>
              <w:ind w:firstLine="480" w:firstLineChars="200"/>
              <w:rPr>
                <w:sz w:val="24"/>
                <w:highlight w:val="none"/>
              </w:rPr>
            </w:pPr>
            <w:r>
              <w:rPr>
                <w:sz w:val="24"/>
                <w:highlight w:val="none"/>
              </w:rPr>
              <w:t>《转发省环保厅关于进一步做好突发环境事件应急预案备案工作的通知》</w:t>
            </w:r>
            <w:r>
              <w:rPr>
                <w:rFonts w:hint="eastAsia"/>
                <w:sz w:val="24"/>
                <w:highlight w:val="none"/>
              </w:rPr>
              <w:t>（</w:t>
            </w:r>
            <w:r>
              <w:rPr>
                <w:sz w:val="24"/>
                <w:highlight w:val="none"/>
              </w:rPr>
              <w:t>[2012]保环119号</w:t>
            </w:r>
            <w:r>
              <w:rPr>
                <w:rFonts w:hint="eastAsia"/>
                <w:sz w:val="24"/>
                <w:highlight w:val="none"/>
              </w:rPr>
              <w:t>）</w:t>
            </w:r>
          </w:p>
          <w:p>
            <w:pPr>
              <w:spacing w:line="360" w:lineRule="auto"/>
              <w:ind w:firstLine="480" w:firstLineChars="200"/>
              <w:rPr>
                <w:sz w:val="24"/>
                <w:highlight w:val="none"/>
              </w:rPr>
            </w:pPr>
            <w:r>
              <w:rPr>
                <w:sz w:val="24"/>
                <w:highlight w:val="none"/>
              </w:rPr>
              <w:t>国家环境保护部关于印发《企业事业单位突发环境事件应急预案备案管理办法</w:t>
            </w:r>
            <w:r>
              <w:rPr>
                <w:rFonts w:hint="eastAsia"/>
                <w:sz w:val="24"/>
                <w:highlight w:val="none"/>
              </w:rPr>
              <w:t>(</w:t>
            </w:r>
            <w:r>
              <w:rPr>
                <w:sz w:val="24"/>
                <w:highlight w:val="none"/>
              </w:rPr>
              <w:t>试行</w:t>
            </w:r>
            <w:r>
              <w:rPr>
                <w:rFonts w:hint="eastAsia"/>
                <w:sz w:val="24"/>
                <w:highlight w:val="none"/>
              </w:rPr>
              <w:t>)</w:t>
            </w:r>
            <w:r>
              <w:rPr>
                <w:sz w:val="24"/>
                <w:highlight w:val="none"/>
              </w:rPr>
              <w:t>》的通知</w:t>
            </w:r>
            <w:r>
              <w:rPr>
                <w:rFonts w:hint="eastAsia"/>
                <w:sz w:val="24"/>
                <w:highlight w:val="none"/>
              </w:rPr>
              <w:t>（</w:t>
            </w:r>
            <w:r>
              <w:rPr>
                <w:sz w:val="24"/>
                <w:highlight w:val="none"/>
              </w:rPr>
              <w:t>环发[2015]4号</w:t>
            </w:r>
            <w:r>
              <w:rPr>
                <w:rFonts w:hint="eastAsia"/>
                <w:sz w:val="24"/>
                <w:highlight w:val="none"/>
              </w:rPr>
              <w:t>）</w:t>
            </w:r>
          </w:p>
          <w:p>
            <w:pPr>
              <w:spacing w:line="360" w:lineRule="auto"/>
              <w:ind w:firstLine="480" w:firstLineChars="200"/>
              <w:rPr>
                <w:rFonts w:hint="eastAsia"/>
                <w:color w:val="000000"/>
                <w:sz w:val="24"/>
                <w:highlight w:val="none"/>
              </w:rPr>
            </w:pPr>
            <w:r>
              <w:rPr>
                <w:sz w:val="24"/>
                <w:highlight w:val="none"/>
              </w:rPr>
              <w:t>国家环境保护部关于印发《企业突发环境事件风险评估指南</w:t>
            </w:r>
            <w:r>
              <w:rPr>
                <w:rFonts w:hint="eastAsia"/>
                <w:sz w:val="24"/>
                <w:highlight w:val="none"/>
              </w:rPr>
              <w:t>(</w:t>
            </w:r>
            <w:r>
              <w:rPr>
                <w:sz w:val="24"/>
                <w:highlight w:val="none"/>
              </w:rPr>
              <w:t>试行</w:t>
            </w:r>
            <w:r>
              <w:rPr>
                <w:rFonts w:hint="eastAsia"/>
                <w:sz w:val="24"/>
                <w:highlight w:val="none"/>
              </w:rPr>
              <w:t>)</w:t>
            </w:r>
            <w:r>
              <w:rPr>
                <w:sz w:val="24"/>
                <w:highlight w:val="none"/>
              </w:rPr>
              <w:t>》的通知</w:t>
            </w:r>
            <w:r>
              <w:rPr>
                <w:rFonts w:hint="eastAsia"/>
                <w:sz w:val="24"/>
                <w:highlight w:val="none"/>
              </w:rPr>
              <w:t>（</w:t>
            </w:r>
            <w:r>
              <w:rPr>
                <w:sz w:val="24"/>
                <w:highlight w:val="none"/>
              </w:rPr>
              <w:t>环发[</w:t>
            </w:r>
            <w:r>
              <w:rPr>
                <w:color w:val="000000"/>
                <w:sz w:val="24"/>
                <w:highlight w:val="none"/>
              </w:rPr>
              <w:t>2014]34号</w:t>
            </w:r>
            <w:r>
              <w:rPr>
                <w:rFonts w:hint="eastAsia"/>
                <w:color w:val="000000"/>
                <w:sz w:val="24"/>
                <w:highlight w:val="none"/>
              </w:rPr>
              <w:t>）</w:t>
            </w:r>
          </w:p>
          <w:p>
            <w:pPr>
              <w:pStyle w:val="2"/>
              <w:rPr>
                <w:color w:val="000000"/>
                <w:highlight w:val="none"/>
              </w:rPr>
            </w:pPr>
            <w:r>
              <w:rPr>
                <w:rFonts w:hint="eastAsia" w:ascii="Times New Roman" w:hAnsi="Times New Roman"/>
                <w:color w:val="000000"/>
                <w:sz w:val="24"/>
                <w:highlight w:val="none"/>
              </w:rPr>
              <w:t>《企业突发环境事件风险分级方法》（HJ941-2018）</w:t>
            </w:r>
          </w:p>
          <w:p>
            <w:pPr>
              <w:pStyle w:val="4"/>
              <w:spacing w:before="0" w:after="0" w:line="360" w:lineRule="auto"/>
              <w:rPr>
                <w:rFonts w:ascii="Times New Roman" w:hAnsi="Times New Roman"/>
                <w:sz w:val="24"/>
                <w:szCs w:val="24"/>
                <w:highlight w:val="none"/>
              </w:rPr>
            </w:pPr>
            <w:bookmarkStart w:id="44" w:name="_Toc50554713"/>
            <w:bookmarkStart w:id="45" w:name="_Toc9473"/>
            <w:bookmarkStart w:id="46" w:name="_Toc14715"/>
            <w:bookmarkStart w:id="47" w:name="_Toc9297"/>
            <w:bookmarkStart w:id="48" w:name="_Toc1339"/>
            <w:bookmarkStart w:id="49" w:name="_Toc408734738"/>
            <w:r>
              <w:rPr>
                <w:rFonts w:ascii="Times New Roman" w:hAnsi="Times New Roman"/>
                <w:sz w:val="24"/>
                <w:szCs w:val="24"/>
                <w:highlight w:val="none"/>
              </w:rPr>
              <w:t>1.3</w:t>
            </w:r>
            <w:r>
              <w:rPr>
                <w:rFonts w:hint="eastAsia" w:ascii="Times New Roman" w:hAnsi="Times New Roman"/>
                <w:sz w:val="24"/>
                <w:szCs w:val="24"/>
                <w:highlight w:val="none"/>
              </w:rPr>
              <w:t xml:space="preserve"> </w:t>
            </w:r>
            <w:r>
              <w:rPr>
                <w:rFonts w:ascii="Times New Roman" w:hAnsi="Times New Roman"/>
                <w:sz w:val="24"/>
                <w:szCs w:val="24"/>
                <w:highlight w:val="none"/>
              </w:rPr>
              <w:t>工作原则</w:t>
            </w:r>
            <w:bookmarkEnd w:id="23"/>
            <w:bookmarkEnd w:id="24"/>
            <w:bookmarkEnd w:id="44"/>
            <w:bookmarkEnd w:id="45"/>
            <w:bookmarkEnd w:id="46"/>
            <w:bookmarkEnd w:id="47"/>
            <w:bookmarkEnd w:id="48"/>
            <w:bookmarkEnd w:id="49"/>
          </w:p>
          <w:p>
            <w:pPr>
              <w:spacing w:line="360" w:lineRule="auto"/>
              <w:ind w:firstLine="480" w:firstLineChars="200"/>
              <w:rPr>
                <w:sz w:val="24"/>
                <w:highlight w:val="none"/>
              </w:rPr>
            </w:pPr>
            <w:bookmarkStart w:id="50" w:name="_Toc268088060"/>
            <w:r>
              <w:rPr>
                <w:sz w:val="24"/>
                <w:highlight w:val="none"/>
              </w:rPr>
              <w:t>以人为本，环保优先；预防为主，防控结合；快速响应，高效统一；就近处置，防止扩散；科学应急，损失最小；汲取经验，持续改进。</w:t>
            </w:r>
          </w:p>
          <w:bookmarkEnd w:id="50"/>
          <w:p>
            <w:pPr>
              <w:pStyle w:val="4"/>
              <w:spacing w:before="0" w:after="0" w:line="360" w:lineRule="auto"/>
              <w:rPr>
                <w:rFonts w:ascii="Times New Roman" w:hAnsi="Times New Roman"/>
                <w:sz w:val="24"/>
                <w:szCs w:val="24"/>
                <w:highlight w:val="none"/>
              </w:rPr>
            </w:pPr>
            <w:bookmarkStart w:id="51" w:name="_Toc313023145"/>
            <w:bookmarkStart w:id="52" w:name="_Toc408734739"/>
            <w:bookmarkStart w:id="53" w:name="_Toc13672"/>
            <w:bookmarkStart w:id="54" w:name="_Toc50554714"/>
            <w:bookmarkStart w:id="55" w:name="_Toc10018"/>
            <w:bookmarkStart w:id="56" w:name="_Toc10233"/>
            <w:bookmarkStart w:id="57" w:name="_Toc15991"/>
            <w:bookmarkStart w:id="58" w:name="_Toc304533416"/>
            <w:bookmarkStart w:id="59" w:name="_Toc268088061"/>
            <w:bookmarkStart w:id="60" w:name="_Toc306266592"/>
            <w:r>
              <w:rPr>
                <w:rFonts w:ascii="Times New Roman" w:hAnsi="Times New Roman"/>
                <w:sz w:val="24"/>
                <w:szCs w:val="24"/>
                <w:highlight w:val="none"/>
              </w:rPr>
              <w:t>1.4</w:t>
            </w:r>
            <w:r>
              <w:rPr>
                <w:rFonts w:hint="eastAsia" w:ascii="Times New Roman" w:hAnsi="Times New Roman"/>
                <w:sz w:val="24"/>
                <w:szCs w:val="24"/>
                <w:highlight w:val="none"/>
              </w:rPr>
              <w:t xml:space="preserve"> </w:t>
            </w:r>
            <w:r>
              <w:rPr>
                <w:rFonts w:ascii="Times New Roman" w:hAnsi="Times New Roman"/>
                <w:sz w:val="24"/>
                <w:szCs w:val="24"/>
                <w:highlight w:val="none"/>
              </w:rPr>
              <w:t>预案</w:t>
            </w:r>
            <w:bookmarkEnd w:id="51"/>
            <w:bookmarkEnd w:id="52"/>
            <w:r>
              <w:rPr>
                <w:rFonts w:ascii="Times New Roman" w:hAnsi="Times New Roman"/>
                <w:sz w:val="24"/>
                <w:szCs w:val="24"/>
                <w:highlight w:val="none"/>
              </w:rPr>
              <w:t>分级</w:t>
            </w:r>
            <w:bookmarkEnd w:id="53"/>
            <w:bookmarkEnd w:id="54"/>
            <w:bookmarkEnd w:id="55"/>
            <w:bookmarkEnd w:id="56"/>
            <w:bookmarkEnd w:id="57"/>
          </w:p>
          <w:p>
            <w:pPr>
              <w:pStyle w:val="2"/>
              <w:snapToGrid w:val="0"/>
              <w:spacing w:line="360" w:lineRule="auto"/>
              <w:ind w:left="0" w:leftChars="0" w:firstLine="480" w:firstLineChars="200"/>
              <w:rPr>
                <w:rFonts w:hint="eastAsia"/>
                <w:sz w:val="24"/>
                <w:highlight w:val="none"/>
              </w:rPr>
            </w:pPr>
            <w:r>
              <w:rPr>
                <w:kern w:val="0"/>
                <w:sz w:val="24"/>
                <w:highlight w:val="none"/>
                <w:shd w:val="clear" w:color="auto" w:fill="FFFFFF"/>
              </w:rPr>
              <w:t>依据</w:t>
            </w:r>
            <w:r>
              <w:rPr>
                <w:rFonts w:hint="eastAsia"/>
                <w:sz w:val="24"/>
                <w:highlight w:val="none"/>
              </w:rPr>
              <w:t>国家环境保护部关于印发</w:t>
            </w:r>
            <w:r>
              <w:rPr>
                <w:rFonts w:hint="eastAsia" w:ascii="Times New Roman" w:hAnsi="Times New Roman"/>
                <w:color w:val="000000"/>
                <w:sz w:val="24"/>
                <w:highlight w:val="none"/>
              </w:rPr>
              <w:t>《企业突发环境事件风险分级方法》（HJ941-2018）</w:t>
            </w:r>
            <w:r>
              <w:rPr>
                <w:kern w:val="0"/>
                <w:sz w:val="24"/>
                <w:highlight w:val="none"/>
                <w:shd w:val="clear" w:color="auto" w:fill="FFFFFF"/>
              </w:rPr>
              <w:t>，按照突发事件严重性和紧急程度，突发环境事件分为重大</w:t>
            </w:r>
            <w:r>
              <w:rPr>
                <w:rFonts w:hint="eastAsia"/>
                <w:kern w:val="0"/>
                <w:sz w:val="24"/>
                <w:highlight w:val="none"/>
                <w:shd w:val="clear" w:color="auto" w:fill="FFFFFF"/>
              </w:rPr>
              <w:t>环境风险（</w:t>
            </w:r>
            <w:r>
              <w:rPr>
                <w:kern w:val="0"/>
                <w:sz w:val="24"/>
                <w:highlight w:val="none"/>
                <w:shd w:val="clear" w:color="auto" w:fill="FFFFFF"/>
              </w:rPr>
              <w:fldChar w:fldCharType="begin"/>
            </w:r>
            <w:r>
              <w:rPr>
                <w:kern w:val="0"/>
                <w:sz w:val="24"/>
                <w:highlight w:val="none"/>
                <w:shd w:val="clear" w:color="auto" w:fill="FFFFFF"/>
              </w:rPr>
              <w:instrText xml:space="preserve"> </w:instrText>
            </w:r>
            <w:r>
              <w:rPr>
                <w:rFonts w:hint="eastAsia"/>
                <w:kern w:val="0"/>
                <w:sz w:val="24"/>
                <w:highlight w:val="none"/>
                <w:shd w:val="clear" w:color="auto" w:fill="FFFFFF"/>
              </w:rPr>
              <w:instrText xml:space="preserve">= 1 \* ROMAN</w:instrText>
            </w:r>
            <w:r>
              <w:rPr>
                <w:kern w:val="0"/>
                <w:sz w:val="24"/>
                <w:highlight w:val="none"/>
                <w:shd w:val="clear" w:color="auto" w:fill="FFFFFF"/>
              </w:rPr>
              <w:instrText xml:space="preserve"> </w:instrText>
            </w:r>
            <w:r>
              <w:rPr>
                <w:kern w:val="0"/>
                <w:sz w:val="24"/>
                <w:highlight w:val="none"/>
                <w:shd w:val="clear" w:color="auto" w:fill="FFFFFF"/>
              </w:rPr>
              <w:fldChar w:fldCharType="separate"/>
            </w:r>
            <w:r>
              <w:rPr>
                <w:kern w:val="0"/>
                <w:sz w:val="24"/>
                <w:highlight w:val="none"/>
                <w:shd w:val="clear" w:color="auto" w:fill="FFFFFF"/>
              </w:rPr>
              <w:t>I</w:t>
            </w:r>
            <w:r>
              <w:rPr>
                <w:kern w:val="0"/>
                <w:sz w:val="24"/>
                <w:highlight w:val="none"/>
                <w:shd w:val="clear" w:color="auto" w:fill="FFFFFF"/>
              </w:rPr>
              <w:fldChar w:fldCharType="end"/>
            </w:r>
            <w:r>
              <w:rPr>
                <w:rFonts w:hint="eastAsia"/>
                <w:kern w:val="0"/>
                <w:sz w:val="24"/>
                <w:highlight w:val="none"/>
                <w:shd w:val="clear" w:color="auto" w:fill="FFFFFF"/>
              </w:rPr>
              <w:t>）</w:t>
            </w:r>
            <w:r>
              <w:rPr>
                <w:kern w:val="0"/>
                <w:sz w:val="24"/>
                <w:highlight w:val="none"/>
                <w:shd w:val="clear" w:color="auto" w:fill="FFFFFF"/>
              </w:rPr>
              <w:t>、较大</w:t>
            </w:r>
            <w:r>
              <w:rPr>
                <w:rFonts w:hint="eastAsia"/>
                <w:kern w:val="0"/>
                <w:sz w:val="24"/>
                <w:highlight w:val="none"/>
                <w:shd w:val="clear" w:color="auto" w:fill="FFFFFF"/>
              </w:rPr>
              <w:t>环境风险（</w:t>
            </w:r>
            <w:r>
              <w:rPr>
                <w:kern w:val="0"/>
                <w:sz w:val="24"/>
                <w:highlight w:val="none"/>
                <w:shd w:val="clear" w:color="auto" w:fill="FFFFFF"/>
              </w:rPr>
              <w:fldChar w:fldCharType="begin"/>
            </w:r>
            <w:r>
              <w:rPr>
                <w:kern w:val="0"/>
                <w:sz w:val="24"/>
                <w:highlight w:val="none"/>
                <w:shd w:val="clear" w:color="auto" w:fill="FFFFFF"/>
              </w:rPr>
              <w:instrText xml:space="preserve"> </w:instrText>
            </w:r>
            <w:r>
              <w:rPr>
                <w:rFonts w:hint="eastAsia"/>
                <w:kern w:val="0"/>
                <w:sz w:val="24"/>
                <w:highlight w:val="none"/>
                <w:shd w:val="clear" w:color="auto" w:fill="FFFFFF"/>
              </w:rPr>
              <w:instrText xml:space="preserve">= 2 \* ROMAN</w:instrText>
            </w:r>
            <w:r>
              <w:rPr>
                <w:kern w:val="0"/>
                <w:sz w:val="24"/>
                <w:highlight w:val="none"/>
                <w:shd w:val="clear" w:color="auto" w:fill="FFFFFF"/>
              </w:rPr>
              <w:instrText xml:space="preserve"> </w:instrText>
            </w:r>
            <w:r>
              <w:rPr>
                <w:kern w:val="0"/>
                <w:sz w:val="24"/>
                <w:highlight w:val="none"/>
                <w:shd w:val="clear" w:color="auto" w:fill="FFFFFF"/>
              </w:rPr>
              <w:fldChar w:fldCharType="separate"/>
            </w:r>
            <w:r>
              <w:rPr>
                <w:kern w:val="0"/>
                <w:sz w:val="24"/>
                <w:highlight w:val="none"/>
                <w:shd w:val="clear" w:color="auto" w:fill="FFFFFF"/>
              </w:rPr>
              <w:t>II</w:t>
            </w:r>
            <w:r>
              <w:rPr>
                <w:kern w:val="0"/>
                <w:sz w:val="24"/>
                <w:highlight w:val="none"/>
                <w:shd w:val="clear" w:color="auto" w:fill="FFFFFF"/>
              </w:rPr>
              <w:fldChar w:fldCharType="end"/>
            </w:r>
            <w:r>
              <w:rPr>
                <w:rFonts w:hint="eastAsia"/>
                <w:kern w:val="0"/>
                <w:sz w:val="24"/>
                <w:highlight w:val="none"/>
                <w:shd w:val="clear" w:color="auto" w:fill="FFFFFF"/>
              </w:rPr>
              <w:t>）</w:t>
            </w:r>
            <w:r>
              <w:rPr>
                <w:kern w:val="0"/>
                <w:sz w:val="24"/>
                <w:highlight w:val="none"/>
                <w:shd w:val="clear" w:color="auto" w:fill="FFFFFF"/>
              </w:rPr>
              <w:t>和一般</w:t>
            </w:r>
            <w:r>
              <w:rPr>
                <w:rFonts w:hint="eastAsia"/>
                <w:kern w:val="0"/>
                <w:sz w:val="24"/>
                <w:highlight w:val="none"/>
                <w:shd w:val="clear" w:color="auto" w:fill="FFFFFF"/>
              </w:rPr>
              <w:t>环境风险（</w:t>
            </w:r>
            <w:r>
              <w:rPr>
                <w:kern w:val="0"/>
                <w:sz w:val="24"/>
                <w:highlight w:val="none"/>
                <w:shd w:val="clear" w:color="auto" w:fill="FFFFFF"/>
              </w:rPr>
              <w:fldChar w:fldCharType="begin"/>
            </w:r>
            <w:r>
              <w:rPr>
                <w:kern w:val="0"/>
                <w:sz w:val="24"/>
                <w:highlight w:val="none"/>
                <w:shd w:val="clear" w:color="auto" w:fill="FFFFFF"/>
              </w:rPr>
              <w:instrText xml:space="preserve"> </w:instrText>
            </w:r>
            <w:r>
              <w:rPr>
                <w:rFonts w:hint="eastAsia"/>
                <w:kern w:val="0"/>
                <w:sz w:val="24"/>
                <w:highlight w:val="none"/>
                <w:shd w:val="clear" w:color="auto" w:fill="FFFFFF"/>
              </w:rPr>
              <w:instrText xml:space="preserve">= 3 \* ROMAN</w:instrText>
            </w:r>
            <w:r>
              <w:rPr>
                <w:kern w:val="0"/>
                <w:sz w:val="24"/>
                <w:highlight w:val="none"/>
                <w:shd w:val="clear" w:color="auto" w:fill="FFFFFF"/>
              </w:rPr>
              <w:instrText xml:space="preserve"> </w:instrText>
            </w:r>
            <w:r>
              <w:rPr>
                <w:kern w:val="0"/>
                <w:sz w:val="24"/>
                <w:highlight w:val="none"/>
                <w:shd w:val="clear" w:color="auto" w:fill="FFFFFF"/>
              </w:rPr>
              <w:fldChar w:fldCharType="separate"/>
            </w:r>
            <w:r>
              <w:rPr>
                <w:kern w:val="0"/>
                <w:sz w:val="24"/>
                <w:highlight w:val="none"/>
                <w:shd w:val="clear" w:color="auto" w:fill="FFFFFF"/>
              </w:rPr>
              <w:t>III</w:t>
            </w:r>
            <w:r>
              <w:rPr>
                <w:kern w:val="0"/>
                <w:sz w:val="24"/>
                <w:highlight w:val="none"/>
                <w:shd w:val="clear" w:color="auto" w:fill="FFFFFF"/>
              </w:rPr>
              <w:fldChar w:fldCharType="end"/>
            </w:r>
            <w:r>
              <w:rPr>
                <w:rFonts w:hint="eastAsia"/>
                <w:kern w:val="0"/>
                <w:sz w:val="24"/>
                <w:highlight w:val="none"/>
                <w:shd w:val="clear" w:color="auto" w:fill="FFFFFF"/>
              </w:rPr>
              <w:t>）</w:t>
            </w:r>
            <w:r>
              <w:rPr>
                <w:kern w:val="0"/>
                <w:sz w:val="24"/>
                <w:highlight w:val="none"/>
                <w:shd w:val="clear" w:color="auto" w:fill="FFFFFF"/>
              </w:rPr>
              <w:t>。</w:t>
            </w:r>
            <w:r>
              <w:rPr>
                <w:sz w:val="24"/>
                <w:highlight w:val="none"/>
              </w:rPr>
              <w:t>预警信号依次为橙色、</w:t>
            </w:r>
            <w:r>
              <w:rPr>
                <w:rFonts w:hint="eastAsia"/>
                <w:sz w:val="24"/>
                <w:highlight w:val="none"/>
              </w:rPr>
              <w:t>黄色和蓝色</w:t>
            </w:r>
            <w:r>
              <w:rPr>
                <w:sz w:val="24"/>
                <w:highlight w:val="none"/>
              </w:rPr>
              <w:t>。</w:t>
            </w:r>
          </w:p>
          <w:p>
            <w:pPr>
              <w:snapToGrid w:val="0"/>
              <w:spacing w:line="360" w:lineRule="auto"/>
              <w:ind w:firstLine="480" w:firstLineChars="200"/>
              <w:rPr>
                <w:rFonts w:hint="eastAsia"/>
                <w:kern w:val="0"/>
                <w:sz w:val="24"/>
                <w:highlight w:val="none"/>
                <w:shd w:val="clear" w:color="auto" w:fill="FFFFFF"/>
              </w:rPr>
            </w:pPr>
            <w:r>
              <w:rPr>
                <w:sz w:val="24"/>
                <w:highlight w:val="none"/>
              </w:rPr>
              <w:t>根据《高碑店市白沟京泽五金饰件厂突发环境事件风险评估报告》，</w:t>
            </w:r>
            <w:r>
              <w:rPr>
                <w:rFonts w:hAnsi="宋体" w:cs="宋体"/>
                <w:sz w:val="24"/>
                <w:highlight w:val="none"/>
              </w:rPr>
              <w:t>企业</w:t>
            </w:r>
            <w:r>
              <w:rPr>
                <w:rFonts w:hint="eastAsia" w:hAnsi="宋体" w:cs="宋体"/>
                <w:sz w:val="24"/>
                <w:highlight w:val="none"/>
              </w:rPr>
              <w:t>突发水</w:t>
            </w:r>
            <w:r>
              <w:rPr>
                <w:rFonts w:hAnsi="宋体" w:cs="宋体"/>
                <w:sz w:val="24"/>
                <w:highlight w:val="none"/>
              </w:rPr>
              <w:t>环境风险等级为</w:t>
            </w:r>
            <w:r>
              <w:rPr>
                <w:rFonts w:hint="eastAsia"/>
                <w:snapToGrid w:val="0"/>
                <w:kern w:val="0"/>
                <w:sz w:val="24"/>
                <w:highlight w:val="none"/>
              </w:rPr>
              <w:t>一般-水（Q</w:t>
            </w:r>
            <w:r>
              <w:rPr>
                <w:snapToGrid w:val="0"/>
                <w:kern w:val="0"/>
                <w:sz w:val="24"/>
                <w:highlight w:val="none"/>
              </w:rPr>
              <w:t>0</w:t>
            </w:r>
            <w:r>
              <w:rPr>
                <w:rFonts w:hint="eastAsia"/>
                <w:snapToGrid w:val="0"/>
                <w:kern w:val="0"/>
                <w:sz w:val="24"/>
                <w:highlight w:val="none"/>
              </w:rPr>
              <w:t>）</w:t>
            </w:r>
            <w:r>
              <w:rPr>
                <w:rFonts w:hint="eastAsia"/>
                <w:kern w:val="0"/>
                <w:sz w:val="24"/>
                <w:highlight w:val="none"/>
                <w:shd w:val="clear" w:color="auto" w:fill="FFFFFF"/>
              </w:rPr>
              <w:t>。</w:t>
            </w:r>
          </w:p>
          <w:p>
            <w:pPr>
              <w:pStyle w:val="4"/>
              <w:spacing w:before="0" w:after="0" w:line="360" w:lineRule="auto"/>
              <w:rPr>
                <w:rFonts w:ascii="Times New Roman" w:hAnsi="Times New Roman"/>
                <w:sz w:val="24"/>
                <w:szCs w:val="24"/>
                <w:highlight w:val="none"/>
              </w:rPr>
            </w:pPr>
            <w:bookmarkStart w:id="61" w:name="_Toc408734740"/>
            <w:bookmarkStart w:id="62" w:name="_Toc313023146"/>
            <w:bookmarkStart w:id="63" w:name="_Toc13696"/>
            <w:bookmarkStart w:id="64" w:name="_Toc50554715"/>
            <w:bookmarkStart w:id="65" w:name="_Toc19029"/>
            <w:bookmarkStart w:id="66" w:name="_Toc2127"/>
            <w:bookmarkStart w:id="67" w:name="_Toc13997"/>
            <w:r>
              <w:rPr>
                <w:rFonts w:ascii="Times New Roman" w:hAnsi="Times New Roman"/>
                <w:sz w:val="24"/>
                <w:szCs w:val="24"/>
                <w:highlight w:val="none"/>
              </w:rPr>
              <w:t>1.5</w:t>
            </w:r>
            <w:bookmarkEnd w:id="58"/>
            <w:bookmarkEnd w:id="59"/>
            <w:bookmarkEnd w:id="60"/>
            <w:bookmarkEnd w:id="61"/>
            <w:bookmarkEnd w:id="62"/>
            <w:r>
              <w:rPr>
                <w:rFonts w:hint="eastAsia" w:ascii="Times New Roman" w:hAnsi="Times New Roman"/>
                <w:sz w:val="24"/>
                <w:szCs w:val="24"/>
                <w:highlight w:val="none"/>
              </w:rPr>
              <w:t xml:space="preserve"> </w:t>
            </w:r>
            <w:r>
              <w:rPr>
                <w:rFonts w:ascii="Times New Roman" w:hAnsi="Times New Roman"/>
                <w:sz w:val="24"/>
                <w:szCs w:val="24"/>
                <w:highlight w:val="none"/>
              </w:rPr>
              <w:t>适用范围</w:t>
            </w:r>
            <w:bookmarkEnd w:id="63"/>
            <w:bookmarkEnd w:id="64"/>
            <w:bookmarkEnd w:id="65"/>
            <w:bookmarkEnd w:id="66"/>
            <w:bookmarkEnd w:id="67"/>
          </w:p>
          <w:p>
            <w:pPr>
              <w:spacing w:line="360" w:lineRule="auto"/>
              <w:ind w:firstLine="480" w:firstLineChars="200"/>
              <w:rPr>
                <w:rFonts w:hint="eastAsia"/>
                <w:sz w:val="24"/>
                <w:highlight w:val="none"/>
              </w:rPr>
            </w:pPr>
            <w:r>
              <w:rPr>
                <w:rFonts w:hint="eastAsia"/>
                <w:sz w:val="24"/>
                <w:highlight w:val="none"/>
              </w:rPr>
              <w:t>本预案适用于</w:t>
            </w:r>
            <w:r>
              <w:rPr>
                <w:sz w:val="24"/>
                <w:highlight w:val="none"/>
              </w:rPr>
              <w:t>高碑店市白沟京泽五金饰件厂</w:t>
            </w:r>
            <w:r>
              <w:rPr>
                <w:rFonts w:hint="eastAsia"/>
                <w:sz w:val="24"/>
                <w:highlight w:val="none"/>
              </w:rPr>
              <w:t>在生产过程中因各种因素引发的所有可能造成对企业周围环境造成危害和破坏以及可能导致社会重大财产损失的突发环境事件。</w:t>
            </w:r>
          </w:p>
          <w:p>
            <w:pPr>
              <w:pStyle w:val="4"/>
              <w:spacing w:before="0" w:after="0" w:line="360" w:lineRule="auto"/>
              <w:rPr>
                <w:rFonts w:hint="eastAsia" w:ascii="Times New Roman" w:hAnsi="Times New Roman"/>
                <w:sz w:val="24"/>
                <w:szCs w:val="24"/>
                <w:highlight w:val="none"/>
              </w:rPr>
            </w:pPr>
            <w:bookmarkStart w:id="68" w:name="_Toc50554716"/>
            <w:r>
              <w:rPr>
                <w:rFonts w:hint="eastAsia" w:ascii="Times New Roman" w:hAnsi="Times New Roman"/>
                <w:sz w:val="24"/>
                <w:szCs w:val="24"/>
                <w:highlight w:val="none"/>
              </w:rPr>
              <w:t>1.6 应急预案体系</w:t>
            </w:r>
            <w:bookmarkEnd w:id="68"/>
          </w:p>
          <w:p>
            <w:pPr>
              <w:spacing w:line="360" w:lineRule="auto"/>
              <w:ind w:firstLine="480" w:firstLineChars="200"/>
              <w:rPr>
                <w:sz w:val="24"/>
                <w:highlight w:val="none"/>
              </w:rPr>
            </w:pPr>
            <w:r>
              <w:rPr>
                <w:rFonts w:hint="eastAsia"/>
                <w:sz w:val="24"/>
                <w:highlight w:val="none"/>
              </w:rPr>
              <w:t>结合本单位实际情况，制定公司级环境应急预案。同时公司内车间、工段、岗位分别制定相应的现场处置卡，结合公司的安全生产应急预案、用水、用电应急预案形成公司预案体系。预案体系事件分级清晰合理，且与上级应急预案响应分级衔接，同时能够与各类专项环境应急预案、现场处置预案（现场处置卡）相衔接。</w:t>
            </w:r>
          </w:p>
          <w:p>
            <w:pPr>
              <w:spacing w:line="360" w:lineRule="auto"/>
              <w:rPr>
                <w:rFonts w:hint="eastAsia"/>
                <w:highlight w:val="none"/>
              </w:rPr>
            </w:pPr>
          </w:p>
          <w:p>
            <w:pPr>
              <w:pStyle w:val="16"/>
              <w:jc w:val="center"/>
              <w:rPr>
                <w:rFonts w:hint="eastAsia" w:ascii="Times New Roman" w:hAnsi="Times New Roman" w:eastAsia="宋体"/>
                <w:b/>
                <w:bCs/>
                <w:color w:val="auto"/>
                <w:highlight w:val="none"/>
              </w:rPr>
            </w:pPr>
            <w:r>
              <w:rPr>
                <w:rFonts w:ascii="Times New Roman" w:hAnsi="Times New Roman" w:eastAsia="宋体"/>
                <w:b/>
                <w:bCs/>
                <w:color w:val="auto"/>
                <w:highlight w:val="none"/>
              </w:rPr>
              <w:t>图1-1 企业应急预案体系</w:t>
            </w:r>
          </w:p>
          <w:p>
            <w:pPr>
              <w:pStyle w:val="2"/>
              <w:widowControl/>
              <w:tabs>
                <w:tab w:val="right" w:leader="dot" w:pos="8505"/>
              </w:tabs>
              <w:spacing w:before="120" w:beforeLines="50" w:after="120" w:afterLines="50" w:line="360" w:lineRule="auto"/>
              <w:ind w:left="0" w:leftChars="0"/>
              <w:jc w:val="center"/>
              <w:rPr>
                <w:b/>
                <w:sz w:val="24"/>
                <w:highlight w:val="none"/>
              </w:rPr>
            </w:pPr>
            <w:r>
              <w:rPr>
                <w:rFonts w:hint="eastAsia"/>
                <w:b/>
                <w:sz w:val="24"/>
                <w:highlight w:val="none"/>
              </w:rPr>
              <w:t>库房现场处置卡</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pPr>
                    <w:jc w:val="center"/>
                    <w:rPr>
                      <w:rFonts w:hint="eastAsia" w:ascii="宋体" w:hAnsi="宋体"/>
                      <w:szCs w:val="21"/>
                      <w:highlight w:val="none"/>
                    </w:rPr>
                  </w:pPr>
                  <w:r>
                    <w:rPr>
                      <w:rFonts w:hint="eastAsia" w:ascii="宋体" w:hAnsi="宋体"/>
                      <w:szCs w:val="21"/>
                      <w:highlight w:val="none"/>
                    </w:rPr>
                    <w:t>风险提示</w:t>
                  </w:r>
                </w:p>
              </w:tc>
              <w:tc>
                <w:tcPr>
                  <w:tcW w:w="7335" w:type="dxa"/>
                  <w:noWrap w:val="0"/>
                  <w:vAlign w:val="top"/>
                </w:tcPr>
                <w:p>
                  <w:pPr>
                    <w:pStyle w:val="16"/>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泄露：</w:t>
                  </w:r>
                  <w:r>
                    <w:rPr>
                      <w:rFonts w:ascii="宋体" w:hAnsi="宋体" w:eastAsia="宋体"/>
                      <w:color w:val="auto"/>
                      <w:sz w:val="21"/>
                      <w:szCs w:val="21"/>
                      <w:highlight w:val="none"/>
                    </w:rPr>
                    <w:t>硫酸镍</w:t>
                  </w:r>
                  <w:r>
                    <w:rPr>
                      <w:rFonts w:hint="eastAsia" w:ascii="宋体" w:hAnsi="宋体" w:eastAsia="宋体"/>
                      <w:color w:val="auto"/>
                      <w:sz w:val="21"/>
                      <w:szCs w:val="21"/>
                      <w:highlight w:val="none"/>
                    </w:rPr>
                    <w:t>、</w:t>
                  </w:r>
                  <w:r>
                    <w:rPr>
                      <w:rFonts w:ascii="宋体" w:hAnsi="宋体" w:eastAsia="宋体"/>
                      <w:color w:val="auto"/>
                      <w:sz w:val="21"/>
                      <w:szCs w:val="21"/>
                      <w:highlight w:val="none"/>
                    </w:rPr>
                    <w:t>氯化镍</w:t>
                  </w:r>
                  <w:r>
                    <w:rPr>
                      <w:rFonts w:hint="eastAsia" w:ascii="宋体" w:hAnsi="宋体" w:eastAsia="宋体"/>
                      <w:color w:val="auto"/>
                      <w:sz w:val="21"/>
                      <w:szCs w:val="21"/>
                      <w:highlight w:val="none"/>
                    </w:rPr>
                    <w:t>等</w:t>
                  </w:r>
                  <w:r>
                    <w:rPr>
                      <w:rFonts w:ascii="宋体" w:hAnsi="宋体" w:eastAsia="宋体"/>
                      <w:color w:val="auto"/>
                      <w:sz w:val="21"/>
                      <w:szCs w:val="21"/>
                      <w:highlight w:val="none"/>
                    </w:rPr>
                    <w:t>发生泄漏</w:t>
                  </w:r>
                  <w:r>
                    <w:rPr>
                      <w:rFonts w:hint="eastAsia" w:ascii="宋体" w:hAnsi="宋体" w:eastAsia="宋体"/>
                      <w:color w:val="auto"/>
                      <w:sz w:val="21"/>
                      <w:szCs w:val="21"/>
                      <w:highlight w:val="none"/>
                    </w:rPr>
                    <w:t>，</w:t>
                  </w:r>
                  <w:r>
                    <w:rPr>
                      <w:rFonts w:ascii="宋体" w:hAnsi="宋体" w:eastAsia="宋体"/>
                      <w:color w:val="auto"/>
                      <w:sz w:val="21"/>
                      <w:szCs w:val="21"/>
                      <w:highlight w:val="none"/>
                    </w:rPr>
                    <w:t>污染</w:t>
                  </w:r>
                  <w:r>
                    <w:rPr>
                      <w:rFonts w:hint="eastAsia" w:ascii="宋体" w:hAnsi="宋体" w:eastAsia="宋体"/>
                      <w:color w:val="auto"/>
                      <w:sz w:val="21"/>
                      <w:szCs w:val="21"/>
                      <w:highlight w:val="none"/>
                    </w:rPr>
                    <w:t>土壤</w:t>
                  </w:r>
                  <w:r>
                    <w:rPr>
                      <w:rFonts w:ascii="宋体" w:hAnsi="宋体" w:eastAsia="宋体"/>
                      <w:color w:val="auto"/>
                      <w:sz w:val="21"/>
                      <w:szCs w:val="21"/>
                      <w:highlight w:val="none"/>
                    </w:rPr>
                    <w:t>及地下水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pPr>
                    <w:jc w:val="center"/>
                    <w:rPr>
                      <w:rFonts w:hint="eastAsia" w:ascii="宋体" w:hAnsi="宋体"/>
                      <w:szCs w:val="21"/>
                      <w:highlight w:val="none"/>
                    </w:rPr>
                  </w:pPr>
                  <w:r>
                    <w:rPr>
                      <w:rFonts w:hint="eastAsia" w:ascii="宋体" w:hAnsi="宋体"/>
                      <w:szCs w:val="21"/>
                      <w:highlight w:val="none"/>
                    </w:rPr>
                    <w:t>应急处置</w:t>
                  </w:r>
                </w:p>
              </w:tc>
              <w:tc>
                <w:tcPr>
                  <w:tcW w:w="7335" w:type="dxa"/>
                  <w:noWrap w:val="0"/>
                  <w:vAlign w:val="top"/>
                </w:tcPr>
                <w:p>
                  <w:pPr>
                    <w:pStyle w:val="16"/>
                    <w:rPr>
                      <w:rFonts w:ascii="宋体" w:hAnsi="宋体" w:eastAsia="宋体"/>
                      <w:color w:val="auto"/>
                      <w:sz w:val="21"/>
                      <w:szCs w:val="21"/>
                      <w:highlight w:val="none"/>
                    </w:rPr>
                  </w:pPr>
                  <w:r>
                    <w:rPr>
                      <w:rFonts w:ascii="宋体" w:hAnsi="宋体" w:eastAsia="宋体"/>
                      <w:color w:val="auto"/>
                      <w:sz w:val="21"/>
                      <w:szCs w:val="21"/>
                      <w:highlight w:val="none"/>
                    </w:rPr>
                    <w:t>硫酸镍、氯化镍</w:t>
                  </w:r>
                  <w:r>
                    <w:rPr>
                      <w:rFonts w:hint="eastAsia" w:ascii="宋体" w:hAnsi="宋体" w:eastAsia="宋体"/>
                      <w:color w:val="auto"/>
                      <w:sz w:val="21"/>
                      <w:szCs w:val="21"/>
                      <w:highlight w:val="none"/>
                    </w:rPr>
                    <w:t>等少量泄露时，应隔离泄漏污染区，限制出入。建议应急处理人员戴防尘面具（全面罩），穿防毒服。用大量水冲洗，洗水稀释后放入废水系统。若大量泄漏，收集回收或运至废物处理场所处置</w:t>
                  </w:r>
                  <w:r>
                    <w:rPr>
                      <w:rFonts w:ascii="宋体" w:hAnsi="宋体" w:eastAsia="宋体"/>
                      <w:color w:val="auto"/>
                      <w:sz w:val="21"/>
                      <w:szCs w:val="21"/>
                      <w:highlight w:val="none"/>
                    </w:rPr>
                    <w:t>。</w:t>
                  </w:r>
                </w:p>
                <w:p>
                  <w:pPr>
                    <w:pStyle w:val="16"/>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1、发现事故隐患及时向总指挥（刘俊水：15130378888）报告</w:t>
                  </w:r>
                </w:p>
                <w:p>
                  <w:pPr>
                    <w:pStyle w:val="16"/>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2、如能自行处理，根据现场泄漏情况，制定堵漏方案，立即按照堵漏方式实施</w:t>
                  </w:r>
                </w:p>
                <w:p>
                  <w:pPr>
                    <w:pStyle w:val="16"/>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3、如不能自行处理，向总指挥报告后按总指挥要求启动应急预案，进行应急救援</w:t>
                  </w:r>
                </w:p>
                <w:p>
                  <w:pPr>
                    <w:pStyle w:val="16"/>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4、若引起火灾现场人员要紧急撤离，在安全的条件下采取灭火措施，将易燃易爆品转移到安全地带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pPr>
                    <w:jc w:val="center"/>
                    <w:rPr>
                      <w:rFonts w:hint="eastAsia" w:ascii="宋体" w:hAnsi="宋体"/>
                      <w:szCs w:val="21"/>
                      <w:highlight w:val="none"/>
                    </w:rPr>
                  </w:pPr>
                  <w:r>
                    <w:rPr>
                      <w:rFonts w:hint="eastAsia" w:ascii="宋体" w:hAnsi="宋体"/>
                      <w:szCs w:val="21"/>
                      <w:highlight w:val="none"/>
                    </w:rPr>
                    <w:t>负责人</w:t>
                  </w:r>
                </w:p>
              </w:tc>
              <w:tc>
                <w:tcPr>
                  <w:tcW w:w="7335" w:type="dxa"/>
                  <w:noWrap w:val="0"/>
                  <w:vAlign w:val="center"/>
                </w:tcPr>
                <w:p>
                  <w:pPr>
                    <w:jc w:val="left"/>
                    <w:rPr>
                      <w:rFonts w:hint="eastAsia" w:ascii="宋体" w:hAnsi="宋体"/>
                      <w:color w:val="000000"/>
                      <w:szCs w:val="21"/>
                      <w:highlight w:val="none"/>
                    </w:rPr>
                  </w:pPr>
                  <w:r>
                    <w:rPr>
                      <w:rFonts w:hint="eastAsia" w:ascii="宋体" w:hAnsi="宋体"/>
                      <w:color w:val="000000"/>
                      <w:szCs w:val="21"/>
                      <w:highlight w:val="none"/>
                    </w:rPr>
                    <w:t>付庆辉</w:t>
                  </w:r>
                </w:p>
              </w:tc>
            </w:tr>
          </w:tbl>
          <w:p>
            <w:pPr>
              <w:pStyle w:val="2"/>
              <w:widowControl/>
              <w:tabs>
                <w:tab w:val="right" w:leader="dot" w:pos="8505"/>
              </w:tabs>
              <w:spacing w:before="120" w:beforeLines="50" w:after="120" w:afterLines="50" w:line="360" w:lineRule="auto"/>
              <w:ind w:left="0" w:leftChars="0"/>
              <w:jc w:val="center"/>
              <w:rPr>
                <w:b/>
                <w:sz w:val="24"/>
                <w:highlight w:val="none"/>
              </w:rPr>
            </w:pPr>
            <w:r>
              <w:rPr>
                <w:rFonts w:hint="eastAsia"/>
                <w:b/>
                <w:sz w:val="24"/>
                <w:highlight w:val="none"/>
              </w:rPr>
              <w:t>电镀车间现场处置</w:t>
            </w:r>
            <w:r>
              <w:rPr>
                <w:b/>
                <w:sz w:val="24"/>
                <w:highlight w:val="none"/>
              </w:rPr>
              <w:t>卡</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7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0" w:type="dxa"/>
                  <w:noWrap w:val="0"/>
                  <w:vAlign w:val="center"/>
                </w:tcPr>
                <w:p>
                  <w:pPr>
                    <w:jc w:val="center"/>
                    <w:rPr>
                      <w:rFonts w:hint="eastAsia"/>
                      <w:szCs w:val="21"/>
                      <w:highlight w:val="none"/>
                    </w:rPr>
                  </w:pPr>
                  <w:r>
                    <w:rPr>
                      <w:rFonts w:hint="eastAsia"/>
                      <w:szCs w:val="21"/>
                      <w:highlight w:val="none"/>
                    </w:rPr>
                    <w:t>风险提示</w:t>
                  </w:r>
                </w:p>
              </w:tc>
              <w:tc>
                <w:tcPr>
                  <w:tcW w:w="7333" w:type="dxa"/>
                  <w:noWrap w:val="0"/>
                  <w:vAlign w:val="top"/>
                </w:tcPr>
                <w:p>
                  <w:pPr>
                    <w:pStyle w:val="16"/>
                    <w:jc w:val="both"/>
                    <w:rPr>
                      <w:rFonts w:hint="eastAsia" w:ascii="Times New Roman" w:eastAsia="宋体"/>
                      <w:color w:val="auto"/>
                      <w:sz w:val="21"/>
                      <w:szCs w:val="21"/>
                      <w:highlight w:val="none"/>
                    </w:rPr>
                  </w:pPr>
                  <w:r>
                    <w:rPr>
                      <w:rFonts w:hint="eastAsia" w:ascii="Times New Roman" w:eastAsia="宋体"/>
                      <w:color w:val="auto"/>
                      <w:sz w:val="21"/>
                      <w:szCs w:val="21"/>
                      <w:highlight w:val="none"/>
                    </w:rPr>
                    <w:t>泄露</w:t>
                  </w:r>
                  <w:r>
                    <w:rPr>
                      <w:rFonts w:ascii="Times New Roman" w:eastAsia="宋体"/>
                      <w:color w:val="auto"/>
                      <w:sz w:val="21"/>
                      <w:szCs w:val="21"/>
                      <w:highlight w:val="none"/>
                    </w:rPr>
                    <w:t>：</w:t>
                  </w:r>
                  <w:r>
                    <w:rPr>
                      <w:rFonts w:hint="eastAsia" w:ascii="Times New Roman" w:eastAsia="宋体"/>
                      <w:color w:val="auto"/>
                      <w:sz w:val="21"/>
                      <w:szCs w:val="21"/>
                      <w:highlight w:val="none"/>
                    </w:rPr>
                    <w:t>电镀槽发生</w:t>
                  </w:r>
                  <w:r>
                    <w:rPr>
                      <w:rFonts w:ascii="Times New Roman" w:eastAsia="宋体"/>
                      <w:color w:val="auto"/>
                      <w:sz w:val="21"/>
                      <w:szCs w:val="21"/>
                      <w:highlight w:val="none"/>
                    </w:rPr>
                    <w:t>泄露</w:t>
                  </w:r>
                  <w:r>
                    <w:rPr>
                      <w:rFonts w:hint="eastAsia" w:ascii="Times New Roman" w:eastAsia="宋体"/>
                      <w:color w:val="auto"/>
                      <w:sz w:val="21"/>
                      <w:szCs w:val="21"/>
                      <w:highlight w:val="none"/>
                    </w:rPr>
                    <w:t>，</w:t>
                  </w:r>
                  <w:r>
                    <w:rPr>
                      <w:rFonts w:ascii="Times New Roman" w:eastAsia="宋体"/>
                      <w:color w:val="auto"/>
                      <w:sz w:val="21"/>
                      <w:szCs w:val="21"/>
                      <w:highlight w:val="none"/>
                    </w:rPr>
                    <w:t>污染</w:t>
                  </w:r>
                  <w:r>
                    <w:rPr>
                      <w:rFonts w:hint="eastAsia" w:ascii="Times New Roman" w:eastAsia="宋体"/>
                      <w:color w:val="auto"/>
                      <w:sz w:val="21"/>
                      <w:szCs w:val="21"/>
                      <w:highlight w:val="none"/>
                    </w:rPr>
                    <w:t>土壤及</w:t>
                  </w:r>
                  <w:r>
                    <w:rPr>
                      <w:rFonts w:ascii="Times New Roman" w:eastAsia="宋体"/>
                      <w:color w:val="auto"/>
                      <w:sz w:val="21"/>
                      <w:szCs w:val="21"/>
                      <w:highlight w:val="none"/>
                    </w:rPr>
                    <w:t>地下水</w:t>
                  </w:r>
                </w:p>
                <w:p>
                  <w:pPr>
                    <w:pStyle w:val="16"/>
                    <w:jc w:val="both"/>
                    <w:rPr>
                      <w:rFonts w:hint="eastAsia" w:ascii="Times New Roman" w:eastAsia="宋体"/>
                      <w:color w:val="auto"/>
                      <w:sz w:val="21"/>
                      <w:szCs w:val="21"/>
                      <w:highlight w:val="none"/>
                    </w:rPr>
                  </w:pPr>
                  <w:r>
                    <w:rPr>
                      <w:rFonts w:hint="eastAsia" w:ascii="Times New Roman" w:eastAsia="宋体"/>
                      <w:color w:val="auto"/>
                      <w:sz w:val="21"/>
                      <w:szCs w:val="21"/>
                      <w:highlight w:val="none"/>
                    </w:rPr>
                    <w:t>处理设施</w:t>
                  </w:r>
                  <w:r>
                    <w:rPr>
                      <w:rFonts w:ascii="Times New Roman" w:eastAsia="宋体"/>
                      <w:color w:val="auto"/>
                      <w:sz w:val="21"/>
                      <w:szCs w:val="21"/>
                      <w:highlight w:val="none"/>
                    </w:rPr>
                    <w:t>运行异常：</w:t>
                  </w:r>
                  <w:r>
                    <w:rPr>
                      <w:rFonts w:hint="eastAsia" w:ascii="Times New Roman" w:eastAsia="宋体"/>
                      <w:color w:val="auto"/>
                      <w:sz w:val="21"/>
                      <w:szCs w:val="21"/>
                      <w:highlight w:val="none"/>
                    </w:rPr>
                    <w:t>废水处理设施运行异常，</w:t>
                  </w:r>
                  <w:r>
                    <w:rPr>
                      <w:rFonts w:ascii="Times New Roman" w:eastAsia="宋体"/>
                      <w:color w:val="auto"/>
                      <w:sz w:val="21"/>
                      <w:szCs w:val="21"/>
                      <w:highlight w:val="none"/>
                    </w:rPr>
                    <w:t>废水直接排放，对白沟污水处理厂造成冲击</w:t>
                  </w:r>
                  <w:r>
                    <w:rPr>
                      <w:rFonts w:hint="eastAsia" w:ascii="Times New Roman" w:eastAsia="宋体"/>
                      <w:color w:val="auto"/>
                      <w:sz w:val="21"/>
                      <w:szCs w:val="21"/>
                      <w:highlight w:val="none"/>
                    </w:rPr>
                    <w:t>；</w:t>
                  </w:r>
                  <w:r>
                    <w:rPr>
                      <w:rFonts w:ascii="Times New Roman" w:eastAsia="宋体"/>
                      <w:color w:val="auto"/>
                      <w:sz w:val="21"/>
                      <w:szCs w:val="21"/>
                      <w:highlight w:val="none"/>
                    </w:rPr>
                    <w:t>废气未经处理直接排放，污染大气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0" w:type="dxa"/>
                  <w:noWrap w:val="0"/>
                  <w:vAlign w:val="center"/>
                </w:tcPr>
                <w:p>
                  <w:pPr>
                    <w:jc w:val="center"/>
                    <w:rPr>
                      <w:rFonts w:hint="eastAsia"/>
                      <w:szCs w:val="21"/>
                      <w:highlight w:val="none"/>
                    </w:rPr>
                  </w:pPr>
                  <w:r>
                    <w:rPr>
                      <w:rFonts w:hint="eastAsia"/>
                      <w:szCs w:val="21"/>
                      <w:highlight w:val="none"/>
                    </w:rPr>
                    <w:t>应急处置</w:t>
                  </w:r>
                </w:p>
              </w:tc>
              <w:tc>
                <w:tcPr>
                  <w:tcW w:w="7333" w:type="dxa"/>
                  <w:noWrap w:val="0"/>
                  <w:vAlign w:val="top"/>
                </w:tcPr>
                <w:p>
                  <w:pPr>
                    <w:pStyle w:val="16"/>
                    <w:jc w:val="both"/>
                    <w:rPr>
                      <w:rFonts w:ascii="Times New Roman" w:eastAsia="宋体"/>
                      <w:color w:val="auto"/>
                      <w:sz w:val="21"/>
                      <w:szCs w:val="21"/>
                      <w:highlight w:val="none"/>
                    </w:rPr>
                  </w:pPr>
                  <w:r>
                    <w:rPr>
                      <w:rFonts w:hint="eastAsia" w:ascii="Times New Roman" w:eastAsia="宋体"/>
                      <w:color w:val="auto"/>
                      <w:sz w:val="21"/>
                      <w:szCs w:val="21"/>
                      <w:highlight w:val="none"/>
                    </w:rPr>
                    <w:t>泄露</w:t>
                  </w:r>
                  <w:r>
                    <w:rPr>
                      <w:rFonts w:ascii="Times New Roman" w:eastAsia="宋体"/>
                      <w:color w:val="auto"/>
                      <w:sz w:val="21"/>
                      <w:szCs w:val="21"/>
                      <w:highlight w:val="none"/>
                    </w:rPr>
                    <w:t>：</w:t>
                  </w:r>
                  <w:r>
                    <w:rPr>
                      <w:rFonts w:hint="eastAsia" w:ascii="Times New Roman" w:eastAsia="宋体"/>
                      <w:color w:val="auto"/>
                      <w:sz w:val="21"/>
                      <w:szCs w:val="21"/>
                      <w:highlight w:val="none"/>
                    </w:rPr>
                    <w:t>硫酸、硼酸泄漏时可用砂土、干燥石灰或苏打灰混合覆盖；</w:t>
                  </w:r>
                  <w:r>
                    <w:rPr>
                      <w:rFonts w:ascii="Times New Roman" w:eastAsia="宋体"/>
                      <w:color w:val="auto"/>
                      <w:sz w:val="21"/>
                      <w:szCs w:val="21"/>
                      <w:highlight w:val="none"/>
                    </w:rPr>
                    <w:t>硫酸镍、氯化镍</w:t>
                  </w:r>
                  <w:r>
                    <w:rPr>
                      <w:rFonts w:hint="eastAsia" w:ascii="Times New Roman" w:eastAsia="宋体"/>
                      <w:color w:val="auto"/>
                      <w:sz w:val="21"/>
                      <w:szCs w:val="21"/>
                      <w:highlight w:val="none"/>
                    </w:rPr>
                    <w:t>等少量泄露时</w:t>
                  </w:r>
                  <w:r>
                    <w:rPr>
                      <w:rFonts w:ascii="Times New Roman" w:eastAsia="宋体"/>
                      <w:color w:val="auto"/>
                      <w:sz w:val="21"/>
                      <w:szCs w:val="21"/>
                      <w:highlight w:val="none"/>
                    </w:rPr>
                    <w:t>用大量水冲洗，废水收集至废</w:t>
                  </w:r>
                  <w:r>
                    <w:rPr>
                      <w:rFonts w:hint="eastAsia" w:ascii="Times New Roman" w:eastAsia="宋体"/>
                      <w:color w:val="auto"/>
                      <w:sz w:val="21"/>
                      <w:szCs w:val="21"/>
                      <w:highlight w:val="none"/>
                    </w:rPr>
                    <w:t>水</w:t>
                  </w:r>
                  <w:r>
                    <w:rPr>
                      <w:rFonts w:ascii="Times New Roman" w:eastAsia="宋体"/>
                      <w:color w:val="auto"/>
                      <w:sz w:val="21"/>
                      <w:szCs w:val="21"/>
                      <w:highlight w:val="none"/>
                    </w:rPr>
                    <w:t>处理设施</w:t>
                  </w:r>
                  <w:r>
                    <w:rPr>
                      <w:rFonts w:hint="eastAsia" w:ascii="Times New Roman" w:eastAsia="宋体"/>
                      <w:color w:val="auto"/>
                      <w:sz w:val="21"/>
                      <w:szCs w:val="21"/>
                      <w:highlight w:val="none"/>
                    </w:rPr>
                    <w:t>，</w:t>
                  </w:r>
                  <w:r>
                    <w:rPr>
                      <w:rFonts w:ascii="Times New Roman" w:eastAsia="宋体"/>
                      <w:color w:val="auto"/>
                      <w:sz w:val="21"/>
                      <w:szCs w:val="21"/>
                      <w:highlight w:val="none"/>
                    </w:rPr>
                    <w:t>大量</w:t>
                  </w:r>
                  <w:r>
                    <w:rPr>
                      <w:rFonts w:hint="eastAsia" w:ascii="Times New Roman" w:eastAsia="宋体"/>
                      <w:color w:val="auto"/>
                      <w:sz w:val="21"/>
                      <w:szCs w:val="21"/>
                      <w:highlight w:val="none"/>
                    </w:rPr>
                    <w:t>泄漏时</w:t>
                  </w:r>
                  <w:r>
                    <w:rPr>
                      <w:rFonts w:ascii="Times New Roman" w:eastAsia="宋体"/>
                      <w:color w:val="auto"/>
                      <w:sz w:val="21"/>
                      <w:szCs w:val="21"/>
                      <w:highlight w:val="none"/>
                    </w:rPr>
                    <w:t>收集至危废间</w:t>
                  </w:r>
                  <w:r>
                    <w:rPr>
                      <w:rFonts w:hint="eastAsia" w:ascii="Times New Roman" w:eastAsia="宋体"/>
                      <w:color w:val="auto"/>
                      <w:sz w:val="21"/>
                      <w:szCs w:val="21"/>
                      <w:highlight w:val="none"/>
                    </w:rPr>
                    <w:t>，</w:t>
                  </w:r>
                  <w:r>
                    <w:rPr>
                      <w:rFonts w:ascii="Times New Roman" w:eastAsia="宋体"/>
                      <w:color w:val="auto"/>
                      <w:sz w:val="21"/>
                      <w:szCs w:val="21"/>
                      <w:highlight w:val="none"/>
                    </w:rPr>
                    <w:t>然后再冲洗处置。</w:t>
                  </w:r>
                </w:p>
                <w:p>
                  <w:pPr>
                    <w:pStyle w:val="16"/>
                    <w:jc w:val="both"/>
                    <w:rPr>
                      <w:rFonts w:ascii="Times New Roman" w:eastAsia="宋体"/>
                      <w:color w:val="auto"/>
                      <w:sz w:val="21"/>
                      <w:szCs w:val="21"/>
                      <w:highlight w:val="none"/>
                    </w:rPr>
                  </w:pPr>
                  <w:r>
                    <w:rPr>
                      <w:rFonts w:hint="eastAsia" w:ascii="Times New Roman" w:eastAsia="宋体"/>
                      <w:color w:val="auto"/>
                      <w:sz w:val="21"/>
                      <w:szCs w:val="21"/>
                      <w:highlight w:val="none"/>
                    </w:rPr>
                    <w:t>处理设施</w:t>
                  </w:r>
                  <w:r>
                    <w:rPr>
                      <w:rFonts w:ascii="Times New Roman" w:eastAsia="宋体"/>
                      <w:color w:val="auto"/>
                      <w:sz w:val="21"/>
                      <w:szCs w:val="21"/>
                      <w:highlight w:val="none"/>
                    </w:rPr>
                    <w:t>运行异常：</w:t>
                  </w:r>
                  <w:r>
                    <w:rPr>
                      <w:rFonts w:hint="eastAsia" w:ascii="Times New Roman" w:eastAsia="宋体"/>
                      <w:color w:val="auto"/>
                      <w:sz w:val="21"/>
                      <w:szCs w:val="21"/>
                      <w:highlight w:val="none"/>
                    </w:rPr>
                    <w:t>首先停止各</w:t>
                  </w:r>
                  <w:r>
                    <w:rPr>
                      <w:rFonts w:ascii="Times New Roman" w:eastAsia="宋体"/>
                      <w:color w:val="auto"/>
                      <w:sz w:val="21"/>
                      <w:szCs w:val="21"/>
                      <w:highlight w:val="none"/>
                    </w:rPr>
                    <w:t>车间排放口，</w:t>
                  </w:r>
                  <w:r>
                    <w:rPr>
                      <w:rFonts w:hint="eastAsia" w:ascii="Times New Roman" w:eastAsia="宋体"/>
                      <w:color w:val="auto"/>
                      <w:sz w:val="21"/>
                      <w:szCs w:val="21"/>
                      <w:highlight w:val="none"/>
                    </w:rPr>
                    <w:t>然后停止厂区排放口</w:t>
                  </w:r>
                  <w:r>
                    <w:rPr>
                      <w:rFonts w:ascii="Times New Roman" w:eastAsia="宋体"/>
                      <w:color w:val="auto"/>
                      <w:sz w:val="21"/>
                      <w:szCs w:val="21"/>
                      <w:highlight w:val="none"/>
                    </w:rPr>
                    <w:t>排水</w:t>
                  </w:r>
                  <w:r>
                    <w:rPr>
                      <w:rFonts w:hint="eastAsia" w:ascii="Times New Roman" w:eastAsia="宋体"/>
                      <w:color w:val="auto"/>
                      <w:sz w:val="21"/>
                      <w:szCs w:val="21"/>
                      <w:highlight w:val="none"/>
                    </w:rPr>
                    <w:t>，</w:t>
                  </w:r>
                  <w:r>
                    <w:rPr>
                      <w:rFonts w:ascii="Times New Roman" w:eastAsia="宋体"/>
                      <w:color w:val="auto"/>
                      <w:sz w:val="21"/>
                      <w:szCs w:val="21"/>
                      <w:highlight w:val="none"/>
                    </w:rPr>
                    <w:t>设备抢修人员对设备进行维修，确保运行正常后方可正常生产</w:t>
                  </w:r>
                </w:p>
                <w:p>
                  <w:pPr>
                    <w:pStyle w:val="16"/>
                    <w:rPr>
                      <w:rFonts w:hint="eastAsia" w:ascii="Times New Roman" w:eastAsia="宋体"/>
                      <w:color w:val="auto"/>
                      <w:sz w:val="21"/>
                      <w:szCs w:val="21"/>
                      <w:highlight w:val="none"/>
                    </w:rPr>
                  </w:pPr>
                  <w:r>
                    <w:rPr>
                      <w:rFonts w:hint="eastAsia" w:ascii="Times New Roman" w:eastAsia="宋体"/>
                      <w:color w:val="auto"/>
                      <w:sz w:val="21"/>
                      <w:szCs w:val="21"/>
                      <w:highlight w:val="none"/>
                    </w:rPr>
                    <w:t>1、发现事故隐患及时向总指挥（刘俊水；15130378888）报告</w:t>
                  </w:r>
                </w:p>
                <w:p>
                  <w:pPr>
                    <w:pStyle w:val="16"/>
                    <w:rPr>
                      <w:rFonts w:hint="eastAsia" w:ascii="Times New Roman" w:eastAsia="宋体"/>
                      <w:color w:val="auto"/>
                      <w:sz w:val="21"/>
                      <w:szCs w:val="21"/>
                      <w:highlight w:val="none"/>
                    </w:rPr>
                  </w:pPr>
                  <w:r>
                    <w:rPr>
                      <w:rFonts w:hint="eastAsia" w:ascii="Times New Roman" w:eastAsia="宋体"/>
                      <w:color w:val="auto"/>
                      <w:sz w:val="21"/>
                      <w:szCs w:val="21"/>
                      <w:highlight w:val="none"/>
                    </w:rPr>
                    <w:t>2、如能自行处理，根据现场泄漏情况，制定堵漏方案，立即按照堵漏方式实施</w:t>
                  </w:r>
                </w:p>
                <w:p>
                  <w:pPr>
                    <w:pStyle w:val="16"/>
                    <w:rPr>
                      <w:rFonts w:hint="eastAsia" w:ascii="Times New Roman" w:eastAsia="宋体"/>
                      <w:color w:val="auto"/>
                      <w:sz w:val="21"/>
                      <w:szCs w:val="21"/>
                      <w:highlight w:val="none"/>
                    </w:rPr>
                  </w:pPr>
                  <w:r>
                    <w:rPr>
                      <w:rFonts w:hint="eastAsia" w:ascii="Times New Roman" w:eastAsia="宋体"/>
                      <w:color w:val="auto"/>
                      <w:sz w:val="21"/>
                      <w:szCs w:val="21"/>
                      <w:highlight w:val="none"/>
                    </w:rPr>
                    <w:t>3、如不能自行处理，向总指挥报告后按总指挥要求启动应急预案，进行应急救援</w:t>
                  </w:r>
                </w:p>
                <w:p>
                  <w:pPr>
                    <w:pStyle w:val="16"/>
                    <w:jc w:val="both"/>
                    <w:rPr>
                      <w:rFonts w:hint="eastAsia" w:ascii="Times New Roman" w:eastAsia="宋体"/>
                      <w:color w:val="auto"/>
                      <w:sz w:val="21"/>
                      <w:szCs w:val="21"/>
                      <w:highlight w:val="none"/>
                    </w:rPr>
                  </w:pPr>
                  <w:r>
                    <w:rPr>
                      <w:rFonts w:hint="eastAsia" w:ascii="Times New Roman" w:eastAsia="宋体"/>
                      <w:color w:val="auto"/>
                      <w:sz w:val="21"/>
                      <w:szCs w:val="21"/>
                      <w:highlight w:val="none"/>
                    </w:rPr>
                    <w:t>4、若引起火灾现场人员要紧急撤离，在安全的条件下采取灭火措施，将易燃易爆品转移到安全地带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0" w:type="dxa"/>
                  <w:noWrap w:val="0"/>
                  <w:vAlign w:val="center"/>
                </w:tcPr>
                <w:p>
                  <w:pPr>
                    <w:jc w:val="center"/>
                    <w:rPr>
                      <w:rFonts w:hint="eastAsia"/>
                      <w:szCs w:val="21"/>
                      <w:highlight w:val="none"/>
                    </w:rPr>
                  </w:pPr>
                  <w:r>
                    <w:rPr>
                      <w:rFonts w:hint="eastAsia"/>
                      <w:szCs w:val="21"/>
                      <w:highlight w:val="none"/>
                    </w:rPr>
                    <w:t>负责人</w:t>
                  </w:r>
                </w:p>
              </w:tc>
              <w:tc>
                <w:tcPr>
                  <w:tcW w:w="7333" w:type="dxa"/>
                  <w:noWrap w:val="0"/>
                  <w:vAlign w:val="center"/>
                </w:tcPr>
                <w:p>
                  <w:pPr>
                    <w:jc w:val="left"/>
                    <w:rPr>
                      <w:rFonts w:hint="eastAsia"/>
                      <w:color w:val="000000"/>
                      <w:szCs w:val="21"/>
                      <w:highlight w:val="none"/>
                    </w:rPr>
                  </w:pPr>
                  <w:r>
                    <w:rPr>
                      <w:rFonts w:hint="eastAsia"/>
                      <w:color w:val="000000"/>
                      <w:szCs w:val="21"/>
                      <w:highlight w:val="none"/>
                    </w:rPr>
                    <w:t>王建亮</w:t>
                  </w:r>
                </w:p>
              </w:tc>
            </w:tr>
          </w:tbl>
          <w:p>
            <w:pPr>
              <w:pStyle w:val="2"/>
              <w:widowControl/>
              <w:tabs>
                <w:tab w:val="right" w:leader="dot" w:pos="8505"/>
              </w:tabs>
              <w:spacing w:before="120" w:beforeLines="50" w:after="120" w:afterLines="50" w:line="360" w:lineRule="auto"/>
              <w:ind w:left="0" w:leftChars="0"/>
              <w:jc w:val="center"/>
              <w:rPr>
                <w:b/>
                <w:sz w:val="24"/>
                <w:highlight w:val="none"/>
              </w:rPr>
            </w:pPr>
            <w:r>
              <w:rPr>
                <w:rFonts w:hint="eastAsia"/>
                <w:b/>
                <w:sz w:val="24"/>
                <w:highlight w:val="none"/>
              </w:rPr>
              <w:t>危废间现场处置卡</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7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0" w:type="dxa"/>
                  <w:noWrap w:val="0"/>
                  <w:vAlign w:val="center"/>
                </w:tcPr>
                <w:p>
                  <w:pPr>
                    <w:jc w:val="center"/>
                    <w:rPr>
                      <w:rFonts w:hint="eastAsia"/>
                      <w:szCs w:val="21"/>
                      <w:highlight w:val="none"/>
                    </w:rPr>
                  </w:pPr>
                  <w:r>
                    <w:rPr>
                      <w:rFonts w:hint="eastAsia"/>
                      <w:szCs w:val="21"/>
                      <w:highlight w:val="none"/>
                    </w:rPr>
                    <w:t>风险提示</w:t>
                  </w:r>
                </w:p>
              </w:tc>
              <w:tc>
                <w:tcPr>
                  <w:tcW w:w="7333" w:type="dxa"/>
                  <w:noWrap w:val="0"/>
                  <w:vAlign w:val="top"/>
                </w:tcPr>
                <w:p>
                  <w:pPr>
                    <w:pStyle w:val="16"/>
                    <w:jc w:val="both"/>
                    <w:rPr>
                      <w:rFonts w:hint="eastAsia" w:ascii="Times New Roman" w:eastAsia="宋体"/>
                      <w:color w:val="auto"/>
                      <w:sz w:val="21"/>
                      <w:szCs w:val="21"/>
                      <w:highlight w:val="none"/>
                    </w:rPr>
                  </w:pPr>
                  <w:r>
                    <w:rPr>
                      <w:rFonts w:hint="eastAsia" w:ascii="Times New Roman" w:eastAsia="宋体"/>
                      <w:color w:val="auto"/>
                      <w:sz w:val="21"/>
                      <w:szCs w:val="21"/>
                      <w:highlight w:val="none"/>
                    </w:rPr>
                    <w:t>泄露：</w:t>
                  </w:r>
                  <w:r>
                    <w:rPr>
                      <w:rFonts w:hint="eastAsia" w:ascii="Times New Roman"/>
                      <w:color w:val="auto"/>
                      <w:sz w:val="21"/>
                      <w:szCs w:val="21"/>
                      <w:highlight w:val="none"/>
                      <w:lang w:val="en-US" w:eastAsia="zh-CN"/>
                    </w:rPr>
                    <w:t>电镀污泥</w:t>
                  </w:r>
                  <w:r>
                    <w:rPr>
                      <w:rFonts w:ascii="Times New Roman" w:eastAsia="宋体"/>
                      <w:color w:val="auto"/>
                      <w:sz w:val="21"/>
                      <w:szCs w:val="21"/>
                      <w:highlight w:val="none"/>
                    </w:rPr>
                    <w:t>发生泄漏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0" w:type="dxa"/>
                  <w:noWrap w:val="0"/>
                  <w:vAlign w:val="center"/>
                </w:tcPr>
                <w:p>
                  <w:pPr>
                    <w:jc w:val="center"/>
                    <w:rPr>
                      <w:rFonts w:hint="eastAsia"/>
                      <w:szCs w:val="21"/>
                      <w:highlight w:val="none"/>
                    </w:rPr>
                  </w:pPr>
                  <w:r>
                    <w:rPr>
                      <w:rFonts w:hint="eastAsia"/>
                      <w:szCs w:val="21"/>
                      <w:highlight w:val="none"/>
                    </w:rPr>
                    <w:t>应急处置</w:t>
                  </w:r>
                </w:p>
              </w:tc>
              <w:tc>
                <w:tcPr>
                  <w:tcW w:w="7333" w:type="dxa"/>
                  <w:noWrap w:val="0"/>
                  <w:vAlign w:val="top"/>
                </w:tcPr>
                <w:p>
                  <w:pPr>
                    <w:pStyle w:val="16"/>
                    <w:jc w:val="both"/>
                    <w:rPr>
                      <w:rFonts w:ascii="Times New Roman" w:eastAsia="宋体"/>
                      <w:color w:val="auto"/>
                      <w:sz w:val="21"/>
                      <w:szCs w:val="21"/>
                      <w:highlight w:val="none"/>
                    </w:rPr>
                  </w:pPr>
                  <w:r>
                    <w:rPr>
                      <w:rFonts w:hint="eastAsia" w:ascii="Times New Roman" w:eastAsia="宋体"/>
                      <w:color w:val="auto"/>
                      <w:sz w:val="21"/>
                      <w:szCs w:val="21"/>
                      <w:highlight w:val="none"/>
                    </w:rPr>
                    <w:t>泄漏时可用砂土、干燥石灰或苏打灰混合覆盖，</w:t>
                  </w:r>
                  <w:r>
                    <w:rPr>
                      <w:rFonts w:ascii="Times New Roman" w:eastAsia="宋体"/>
                      <w:color w:val="auto"/>
                      <w:sz w:val="21"/>
                      <w:szCs w:val="21"/>
                      <w:highlight w:val="none"/>
                    </w:rPr>
                    <w:t>回收或运至废物处置场所。</w:t>
                  </w:r>
                </w:p>
                <w:p>
                  <w:pPr>
                    <w:pStyle w:val="16"/>
                    <w:rPr>
                      <w:rFonts w:hint="eastAsia" w:ascii="Times New Roman" w:eastAsia="宋体"/>
                      <w:color w:val="auto"/>
                      <w:sz w:val="21"/>
                      <w:szCs w:val="21"/>
                      <w:highlight w:val="none"/>
                    </w:rPr>
                  </w:pPr>
                  <w:r>
                    <w:rPr>
                      <w:rFonts w:hint="eastAsia" w:ascii="Times New Roman" w:eastAsia="宋体"/>
                      <w:color w:val="auto"/>
                      <w:sz w:val="21"/>
                      <w:szCs w:val="21"/>
                      <w:highlight w:val="none"/>
                    </w:rPr>
                    <w:t>1、发现事故隐患及时向总指挥（刘俊水；15130378888）报告</w:t>
                  </w:r>
                </w:p>
                <w:p>
                  <w:pPr>
                    <w:pStyle w:val="16"/>
                    <w:rPr>
                      <w:rFonts w:hint="eastAsia" w:ascii="Times New Roman" w:eastAsia="宋体"/>
                      <w:color w:val="auto"/>
                      <w:sz w:val="21"/>
                      <w:szCs w:val="21"/>
                      <w:highlight w:val="none"/>
                    </w:rPr>
                  </w:pPr>
                  <w:r>
                    <w:rPr>
                      <w:rFonts w:hint="eastAsia" w:ascii="Times New Roman" w:eastAsia="宋体"/>
                      <w:color w:val="auto"/>
                      <w:sz w:val="21"/>
                      <w:szCs w:val="21"/>
                      <w:highlight w:val="none"/>
                    </w:rPr>
                    <w:t>2、如能自行处理，根据现场泄漏情况，制定堵漏方案，立即按照堵漏方式实施</w:t>
                  </w:r>
                </w:p>
                <w:p>
                  <w:pPr>
                    <w:pStyle w:val="16"/>
                    <w:rPr>
                      <w:rFonts w:hint="eastAsia" w:ascii="Times New Roman" w:eastAsia="宋体"/>
                      <w:color w:val="auto"/>
                      <w:sz w:val="21"/>
                      <w:szCs w:val="21"/>
                      <w:highlight w:val="none"/>
                    </w:rPr>
                  </w:pPr>
                  <w:r>
                    <w:rPr>
                      <w:rFonts w:hint="eastAsia" w:ascii="Times New Roman" w:eastAsia="宋体"/>
                      <w:color w:val="auto"/>
                      <w:sz w:val="21"/>
                      <w:szCs w:val="21"/>
                      <w:highlight w:val="none"/>
                    </w:rPr>
                    <w:t>3、如不能自行处理，向总指挥报告后按总指挥要求启动应急预案，进行应急救援</w:t>
                  </w:r>
                </w:p>
                <w:p>
                  <w:pPr>
                    <w:pStyle w:val="16"/>
                    <w:jc w:val="both"/>
                    <w:rPr>
                      <w:rFonts w:hint="eastAsia" w:ascii="Times New Roman" w:eastAsia="宋体"/>
                      <w:color w:val="auto"/>
                      <w:sz w:val="21"/>
                      <w:szCs w:val="21"/>
                      <w:highlight w:val="none"/>
                    </w:rPr>
                  </w:pPr>
                  <w:r>
                    <w:rPr>
                      <w:rFonts w:hint="eastAsia" w:ascii="Times New Roman" w:eastAsia="宋体"/>
                      <w:color w:val="auto"/>
                      <w:sz w:val="21"/>
                      <w:szCs w:val="21"/>
                      <w:highlight w:val="none"/>
                    </w:rPr>
                    <w:t>4、若引起火灾现场人员要紧急撤离，在安全的条件下采取灭火措施，将易燃易爆品转移到安全地带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0" w:type="dxa"/>
                  <w:noWrap w:val="0"/>
                  <w:vAlign w:val="center"/>
                </w:tcPr>
                <w:p>
                  <w:pPr>
                    <w:jc w:val="center"/>
                    <w:rPr>
                      <w:rFonts w:hint="eastAsia"/>
                      <w:szCs w:val="21"/>
                      <w:highlight w:val="none"/>
                    </w:rPr>
                  </w:pPr>
                  <w:r>
                    <w:rPr>
                      <w:rFonts w:hint="eastAsia"/>
                      <w:szCs w:val="21"/>
                      <w:highlight w:val="none"/>
                    </w:rPr>
                    <w:t>负责人</w:t>
                  </w:r>
                </w:p>
              </w:tc>
              <w:tc>
                <w:tcPr>
                  <w:tcW w:w="7333" w:type="dxa"/>
                  <w:noWrap w:val="0"/>
                  <w:vAlign w:val="center"/>
                </w:tcPr>
                <w:p>
                  <w:pPr>
                    <w:jc w:val="left"/>
                    <w:rPr>
                      <w:rFonts w:hint="eastAsia"/>
                      <w:color w:val="000000"/>
                      <w:szCs w:val="21"/>
                      <w:highlight w:val="none"/>
                    </w:rPr>
                  </w:pPr>
                  <w:r>
                    <w:rPr>
                      <w:rFonts w:hint="eastAsia"/>
                      <w:color w:val="000000"/>
                      <w:szCs w:val="21"/>
                      <w:highlight w:val="none"/>
                    </w:rPr>
                    <w:t>张海燕</w:t>
                  </w:r>
                </w:p>
              </w:tc>
            </w:tr>
          </w:tbl>
          <w:p>
            <w:pPr>
              <w:spacing w:line="560" w:lineRule="exact"/>
              <w:ind w:right="-105" w:rightChars="-50"/>
              <w:rPr>
                <w:highlight w:val="none"/>
              </w:rPr>
            </w:pPr>
          </w:p>
          <w:p>
            <w:pPr>
              <w:pStyle w:val="16"/>
              <w:rPr>
                <w:rFonts w:eastAsia="仿宋_GB2312"/>
                <w:sz w:val="24"/>
                <w:highlight w:val="none"/>
              </w:rPr>
            </w:pPr>
          </w:p>
        </w:tc>
      </w:tr>
    </w:tbl>
    <w:p>
      <w:pPr>
        <w:spacing w:line="560" w:lineRule="exact"/>
        <w:ind w:firstLine="204" w:firstLineChars="64"/>
        <w:rPr>
          <w:rFonts w:hint="eastAsia" w:eastAsia="黑体"/>
          <w:sz w:val="32"/>
          <w:szCs w:val="32"/>
        </w:rPr>
      </w:pPr>
    </w:p>
    <w:p>
      <w:pPr>
        <w:spacing w:line="560" w:lineRule="exact"/>
        <w:ind w:firstLine="204" w:firstLineChars="64"/>
        <w:rPr>
          <w:rFonts w:hint="eastAsia" w:eastAsia="黑体"/>
          <w:sz w:val="32"/>
          <w:szCs w:val="32"/>
        </w:rPr>
      </w:pPr>
    </w:p>
    <w:p>
      <w:pPr>
        <w:spacing w:line="560" w:lineRule="exact"/>
        <w:ind w:firstLine="204" w:firstLineChars="64"/>
        <w:rPr>
          <w:rFonts w:eastAsia="黑体"/>
          <w:sz w:val="32"/>
          <w:szCs w:val="32"/>
        </w:rPr>
      </w:pPr>
      <w:r>
        <w:rPr>
          <w:rFonts w:hint="eastAsia" w:eastAsia="黑体"/>
          <w:sz w:val="32"/>
          <w:szCs w:val="32"/>
        </w:rPr>
        <w:t>六、环境自行监测方案</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416" w:type="dxa"/>
            <w:noWrap w:val="0"/>
            <w:vAlign w:val="center"/>
          </w:tcPr>
          <w:p>
            <w:pPr>
              <w:spacing w:line="560" w:lineRule="exact"/>
              <w:jc w:val="center"/>
              <w:rPr>
                <w:rFonts w:eastAsia="仿宋_GB2312"/>
                <w:b/>
                <w:sz w:val="28"/>
                <w:szCs w:val="28"/>
              </w:rPr>
            </w:pPr>
            <w:r>
              <w:rPr>
                <w:rFonts w:hint="eastAsia" w:eastAsia="仿宋_GB2312"/>
                <w:sz w:val="24"/>
              </w:rPr>
              <w:t>主要内容</w:t>
            </w:r>
          </w:p>
        </w:tc>
        <w:tc>
          <w:tcPr>
            <w:tcW w:w="11820" w:type="dxa"/>
            <w:noWrap w:val="0"/>
            <w:vAlign w:val="center"/>
          </w:tcPr>
          <w:p>
            <w:pPr>
              <w:pStyle w:val="40"/>
              <w:ind w:firstLine="0" w:firstLineChars="0"/>
              <w:rPr>
                <w:rFonts w:hint="eastAsia" w:ascii="宋体" w:hAnsi="宋体" w:cs="宋体"/>
                <w:b/>
                <w:sz w:val="24"/>
              </w:rPr>
            </w:pPr>
            <w:r>
              <w:rPr>
                <w:rFonts w:hint="eastAsia" w:ascii="宋体" w:hAnsi="宋体" w:cs="宋体"/>
                <w:b/>
                <w:sz w:val="24"/>
              </w:rPr>
              <w:t>1.单位基本情况</w:t>
            </w:r>
          </w:p>
          <w:p>
            <w:pPr>
              <w:spacing w:line="360" w:lineRule="auto"/>
              <w:ind w:firstLine="480" w:firstLineChars="200"/>
              <w:rPr>
                <w:rFonts w:ascii="宋体" w:hAnsi="宋体" w:cs="宋体"/>
                <w:color w:val="FF0000"/>
                <w:sz w:val="24"/>
              </w:rPr>
            </w:pPr>
            <w:r>
              <w:rPr>
                <w:rFonts w:hint="eastAsia" w:ascii="宋体" w:hAnsi="宋体" w:cs="宋体"/>
                <w:sz w:val="24"/>
                <w:lang w:eastAsia="zh-CN"/>
              </w:rPr>
              <w:t>高碑店市白沟京泽压铸厂</w:t>
            </w:r>
            <w:r>
              <w:rPr>
                <w:rFonts w:hint="eastAsia" w:ascii="宋体" w:hAnsi="宋体" w:cs="宋体"/>
                <w:sz w:val="24"/>
              </w:rPr>
              <w:t>成立于200</w:t>
            </w:r>
            <w:r>
              <w:rPr>
                <w:rFonts w:hint="eastAsia" w:ascii="宋体" w:hAnsi="宋体" w:cs="宋体"/>
                <w:sz w:val="24"/>
                <w:lang w:val="en-US" w:eastAsia="zh-CN"/>
              </w:rPr>
              <w:t>1</w:t>
            </w:r>
            <w:r>
              <w:rPr>
                <w:rFonts w:hint="eastAsia" w:ascii="宋体" w:hAnsi="宋体" w:cs="宋体"/>
                <w:sz w:val="24"/>
              </w:rPr>
              <w:t>年，位于白沟新城</w:t>
            </w:r>
            <w:r>
              <w:rPr>
                <w:rFonts w:hint="eastAsia" w:ascii="宋体" w:hAnsi="宋体" w:cs="宋体"/>
                <w:sz w:val="24"/>
                <w:lang w:eastAsia="zh-CN"/>
              </w:rPr>
              <w:t>工业园区内枫杨路</w:t>
            </w:r>
            <w:r>
              <w:rPr>
                <w:rFonts w:hint="eastAsia" w:ascii="宋体" w:hAnsi="宋体" w:cs="宋体"/>
                <w:sz w:val="24"/>
                <w:lang w:val="en-US" w:eastAsia="zh-CN"/>
              </w:rPr>
              <w:t>9号</w:t>
            </w:r>
            <w:r>
              <w:rPr>
                <w:rFonts w:hint="eastAsia" w:ascii="宋体" w:hAnsi="宋体" w:cs="宋体"/>
                <w:sz w:val="24"/>
              </w:rPr>
              <w:t>，是一家以加工箱包五金配件为主的企业，公司目前年产</w:t>
            </w:r>
            <w:r>
              <w:rPr>
                <w:rFonts w:hint="eastAsia" w:ascii="宋体" w:hAnsi="宋体" w:cs="宋体"/>
                <w:sz w:val="24"/>
                <w:lang w:val="en-US" w:eastAsia="zh-CN"/>
              </w:rPr>
              <w:t>800</w:t>
            </w:r>
            <w:r>
              <w:rPr>
                <w:rFonts w:hint="eastAsia" w:ascii="宋体" w:hAnsi="宋体" w:cs="宋体"/>
                <w:sz w:val="24"/>
              </w:rPr>
              <w:t>吨五金装饰配件项目。厂区外排废水主要是电镀生产车间废水、生活污水、初期雨水。职工生活污水经隔油池和化粪池处理后，汇入生产废水排污口一并排入城镇污水管网，最终进入白沟新城污水处理厂。废水总排放口主要监测指标为流量、化学需氧量、PH值、氨氮、总铜、悬浮物、总氮、石油类、总磷、总镍、五日生化需氧量、动植物油。生产废水中含镍废水经离子交换后大部分经过滤器返回水洗槽作为清洗水，其余进入污水处理站综合废水池处理，主要污染物为总镍；有组织排放废气污染物为电镀工艺产生的硫酸雾。硫酸雾通过由集气罩＋酸雾吸收塔处理达标排放，处理后的废气经15米高排气筒排放，满足排放标准限制要求。厂界无组织废气污染物为硫酸雾。职工生活垃圾收集后统一由环卫部门清运，生产过程下脚料外售处理，全厂危险废物主要为电镀生产过程产生的污水处理站污泥，上述危险废物按照《危险废物贮存污染控制标准》要求临时储存在危险固体废物库房内，委托具有相应危险废物处置资质的</w:t>
            </w:r>
            <w:r>
              <w:rPr>
                <w:rFonts w:hint="eastAsia" w:ascii="宋体" w:hAnsi="宋体" w:cs="宋体"/>
                <w:sz w:val="24"/>
                <w:lang w:eastAsia="zh-CN"/>
              </w:rPr>
              <w:t>涞水冀东水泥有限公司</w:t>
            </w:r>
            <w:r>
              <w:rPr>
                <w:rFonts w:hint="eastAsia" w:ascii="宋体" w:hAnsi="宋体" w:cs="宋体"/>
                <w:sz w:val="24"/>
              </w:rPr>
              <w:t xml:space="preserve">进行处置。厂内噪声主要是抛光滚筒、烘干机、废气治理风机、水泵等设备运行产生的噪声，主要设备置于厂房内，采取基础减振，厂房隔声，再经距离衰减等降噪措施，满足排放标准限值要求。      </w:t>
            </w:r>
            <w:r>
              <w:rPr>
                <w:rFonts w:hint="eastAsia" w:ascii="宋体" w:hAnsi="宋体" w:cs="宋体"/>
                <w:color w:val="FF0000"/>
                <w:sz w:val="24"/>
              </w:rPr>
              <w:t xml:space="preserve">                                                                                                        </w:t>
            </w:r>
            <w:r>
              <w:rPr>
                <w:rFonts w:ascii="宋体" w:hAnsi="宋体" w:cs="宋体"/>
                <w:color w:val="FF0000"/>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企业自行监测包括自动监测和手工监测，自动监测和手工监测均委托有资质的第三方检测机构开展自行监测。</w:t>
            </w:r>
          </w:p>
          <w:p>
            <w:pPr>
              <w:spacing w:line="276" w:lineRule="auto"/>
              <w:rPr>
                <w:rFonts w:hint="eastAsia" w:ascii="宋体" w:hAnsi="宋体" w:cs="宋体"/>
                <w:b/>
                <w:sz w:val="24"/>
              </w:rPr>
            </w:pPr>
          </w:p>
          <w:p>
            <w:pPr>
              <w:spacing w:line="276" w:lineRule="auto"/>
              <w:rPr>
                <w:rFonts w:hint="eastAsia" w:ascii="宋体" w:hAnsi="宋体" w:cs="宋体"/>
                <w:sz w:val="21"/>
                <w:szCs w:val="21"/>
              </w:rPr>
            </w:pPr>
            <w:r>
              <w:rPr>
                <w:rFonts w:hint="eastAsia" w:ascii="宋体" w:hAnsi="宋体" w:cs="宋体"/>
                <w:b/>
                <w:sz w:val="24"/>
              </w:rPr>
              <w:t>2.监测依据</w:t>
            </w:r>
          </w:p>
          <w:p>
            <w:pPr>
              <w:tabs>
                <w:tab w:val="left" w:pos="446"/>
              </w:tabs>
              <w:spacing w:before="46" w:line="276" w:lineRule="auto"/>
              <w:ind w:right="132"/>
              <w:rPr>
                <w:rFonts w:hint="eastAsia" w:ascii="宋体" w:hAnsi="宋体" w:cs="宋体"/>
                <w:sz w:val="24"/>
              </w:rPr>
            </w:pPr>
            <w:r>
              <w:rPr>
                <w:rFonts w:hint="eastAsia" w:ascii="宋体" w:hAnsi="宋体" w:cs="宋体"/>
                <w:sz w:val="24"/>
              </w:rPr>
              <w:t>2.1《排污许可管理办法（试行）》(环境保护部令第48 号)</w:t>
            </w:r>
          </w:p>
          <w:p>
            <w:pPr>
              <w:tabs>
                <w:tab w:val="left" w:pos="446"/>
              </w:tabs>
              <w:spacing w:before="46" w:line="276" w:lineRule="auto"/>
              <w:ind w:right="132"/>
              <w:rPr>
                <w:rFonts w:hint="eastAsia" w:ascii="宋体" w:hAnsi="宋体" w:cs="宋体"/>
                <w:sz w:val="24"/>
              </w:rPr>
            </w:pPr>
            <w:r>
              <w:rPr>
                <w:rFonts w:hint="eastAsia" w:ascii="宋体" w:hAnsi="宋体" w:cs="宋体"/>
                <w:sz w:val="24"/>
              </w:rPr>
              <w:t>2.2 《排污许可证申请与核发技术规范 电镀工业》（HJ855-2017）</w:t>
            </w:r>
          </w:p>
          <w:p>
            <w:pPr>
              <w:tabs>
                <w:tab w:val="left" w:pos="441"/>
              </w:tabs>
              <w:spacing w:before="2" w:line="276" w:lineRule="auto"/>
              <w:rPr>
                <w:rFonts w:hint="eastAsia" w:ascii="宋体" w:hAnsi="宋体" w:cs="宋体"/>
                <w:sz w:val="24"/>
              </w:rPr>
            </w:pPr>
            <w:r>
              <w:rPr>
                <w:rFonts w:hint="eastAsia" w:ascii="宋体" w:hAnsi="宋体" w:cs="宋体"/>
                <w:sz w:val="24"/>
              </w:rPr>
              <w:t>2.3 《</w:t>
            </w:r>
            <w:r>
              <w:rPr>
                <w:rFonts w:hint="eastAsia" w:ascii="宋体" w:hAnsi="宋体" w:cs="宋体"/>
                <w:sz w:val="24"/>
                <w:lang w:eastAsia="zh-CN"/>
              </w:rPr>
              <w:t>高碑店市白沟京泽压铸厂五金饰件</w:t>
            </w:r>
            <w:r>
              <w:rPr>
                <w:rFonts w:hint="eastAsia" w:ascii="宋体" w:hAnsi="宋体" w:cs="宋体"/>
                <w:sz w:val="24"/>
              </w:rPr>
              <w:t>环境影响报告书》</w:t>
            </w:r>
          </w:p>
          <w:p>
            <w:pPr>
              <w:tabs>
                <w:tab w:val="left" w:pos="441"/>
              </w:tabs>
              <w:spacing w:before="2" w:line="276" w:lineRule="auto"/>
              <w:rPr>
                <w:rFonts w:hint="eastAsia" w:ascii="宋体" w:hAnsi="宋体" w:cs="宋体"/>
                <w:sz w:val="24"/>
              </w:rPr>
            </w:pPr>
            <w:r>
              <w:rPr>
                <w:rFonts w:hint="eastAsia" w:ascii="宋体" w:hAnsi="宋体" w:cs="宋体"/>
                <w:sz w:val="24"/>
              </w:rPr>
              <w:t>2.4 《</w:t>
            </w:r>
            <w:r>
              <w:rPr>
                <w:rFonts w:hint="eastAsia" w:ascii="宋体" w:hAnsi="宋体" w:cs="宋体"/>
                <w:sz w:val="24"/>
                <w:lang w:eastAsia="zh-CN"/>
              </w:rPr>
              <w:t>高碑店市白沟京泽压铸厂五金饰件</w:t>
            </w:r>
            <w:r>
              <w:rPr>
                <w:rFonts w:hint="eastAsia" w:ascii="宋体" w:hAnsi="宋体" w:cs="宋体"/>
                <w:sz w:val="24"/>
              </w:rPr>
              <w:t>环境影响补充报告》</w:t>
            </w:r>
          </w:p>
          <w:p>
            <w:pPr>
              <w:tabs>
                <w:tab w:val="left" w:pos="441"/>
              </w:tabs>
              <w:spacing w:before="2" w:line="276" w:lineRule="auto"/>
              <w:rPr>
                <w:rFonts w:hint="eastAsia" w:ascii="宋体" w:hAnsi="宋体" w:cs="宋体"/>
                <w:sz w:val="24"/>
              </w:rPr>
            </w:pPr>
            <w:r>
              <w:rPr>
                <w:rFonts w:hint="eastAsia" w:ascii="宋体" w:hAnsi="宋体" w:cs="宋体"/>
                <w:sz w:val="24"/>
              </w:rPr>
              <w:t>2.5《</w:t>
            </w:r>
            <w:r>
              <w:rPr>
                <w:rFonts w:hint="eastAsia" w:ascii="宋体" w:hAnsi="宋体" w:cs="宋体"/>
                <w:sz w:val="24"/>
                <w:lang w:eastAsia="zh-CN"/>
              </w:rPr>
              <w:t>高碑店市白沟京泽压铸厂五金饰件</w:t>
            </w:r>
            <w:r>
              <w:rPr>
                <w:rFonts w:hint="eastAsia" w:ascii="宋体" w:hAnsi="宋体" w:cs="宋体"/>
                <w:sz w:val="24"/>
              </w:rPr>
              <w:t>环境影响补充说明》</w:t>
            </w:r>
          </w:p>
          <w:p>
            <w:pPr>
              <w:tabs>
                <w:tab w:val="left" w:pos="441"/>
              </w:tabs>
              <w:spacing w:before="2" w:line="276" w:lineRule="auto"/>
              <w:rPr>
                <w:rFonts w:hint="eastAsia" w:ascii="宋体" w:hAnsi="宋体" w:cs="宋体"/>
                <w:sz w:val="24"/>
              </w:rPr>
            </w:pPr>
            <w:r>
              <w:rPr>
                <w:rFonts w:hint="eastAsia" w:ascii="宋体" w:hAnsi="宋体" w:cs="宋体"/>
                <w:sz w:val="24"/>
              </w:rPr>
              <w:t>2.6 《固定污染源排放烟气连续监测系统技术要求及检测方法》 （HJ/T76-2007）</w:t>
            </w:r>
          </w:p>
          <w:p>
            <w:pPr>
              <w:tabs>
                <w:tab w:val="left" w:pos="441"/>
              </w:tabs>
              <w:spacing w:before="72" w:line="276" w:lineRule="auto"/>
              <w:rPr>
                <w:rFonts w:hint="eastAsia" w:ascii="宋体" w:hAnsi="宋体" w:cs="宋体"/>
                <w:sz w:val="24"/>
              </w:rPr>
            </w:pPr>
            <w:r>
              <w:rPr>
                <w:rFonts w:hint="eastAsia" w:ascii="宋体" w:hAnsi="宋体" w:cs="宋体"/>
                <w:sz w:val="24"/>
              </w:rPr>
              <w:t>2.7 《固定源废气监测技术规范》（HJ/T 397-2007）</w:t>
            </w:r>
          </w:p>
          <w:p>
            <w:pPr>
              <w:tabs>
                <w:tab w:val="left" w:pos="441"/>
              </w:tabs>
              <w:spacing w:before="72" w:line="276" w:lineRule="auto"/>
              <w:rPr>
                <w:rFonts w:hint="eastAsia" w:ascii="宋体" w:hAnsi="宋体" w:cs="宋体"/>
                <w:sz w:val="24"/>
              </w:rPr>
            </w:pPr>
            <w:r>
              <w:rPr>
                <w:rFonts w:hint="eastAsia" w:ascii="宋体" w:hAnsi="宋体" w:cs="宋体"/>
                <w:sz w:val="24"/>
              </w:rPr>
              <w:t>2.8《地表水和污水监测技术规范》（HJ/T 91-2002）</w:t>
            </w:r>
          </w:p>
          <w:p>
            <w:pPr>
              <w:tabs>
                <w:tab w:val="left" w:pos="441"/>
              </w:tabs>
              <w:spacing w:before="72" w:line="276" w:lineRule="auto"/>
              <w:jc w:val="both"/>
              <w:rPr>
                <w:rFonts w:hint="eastAsia" w:ascii="宋体" w:hAnsi="宋体" w:cs="宋体"/>
                <w:sz w:val="24"/>
              </w:rPr>
            </w:pPr>
            <w:r>
              <w:rPr>
                <w:rFonts w:hint="eastAsia" w:ascii="宋体" w:hAnsi="宋体" w:cs="宋体"/>
                <w:sz w:val="24"/>
              </w:rPr>
              <w:t>2.9《排污单位自行监测技术指南 总则》（HJ 819-2017）</w:t>
            </w:r>
          </w:p>
          <w:p>
            <w:pPr>
              <w:spacing w:line="276" w:lineRule="auto"/>
              <w:jc w:val="both"/>
              <w:rPr>
                <w:rFonts w:hint="eastAsia" w:ascii="宋体" w:hAnsi="宋体" w:cs="宋体"/>
                <w:color w:val="FF0000"/>
                <w:sz w:val="24"/>
              </w:rPr>
            </w:pPr>
            <w:r>
              <w:rPr>
                <w:rFonts w:hint="eastAsia" w:ascii="宋体" w:hAnsi="宋体" w:cs="宋体"/>
                <w:sz w:val="24"/>
              </w:rPr>
              <w:t>2.10《排污单位自行监测技术指南火力发电及锅炉》（HJ 820-2017）</w:t>
            </w:r>
          </w:p>
          <w:p>
            <w:pPr>
              <w:spacing w:line="276" w:lineRule="auto"/>
              <w:jc w:val="both"/>
              <w:rPr>
                <w:rFonts w:hint="eastAsia" w:ascii="宋体" w:hAnsi="宋体" w:cs="宋体"/>
                <w:sz w:val="24"/>
              </w:rPr>
            </w:pPr>
            <w:r>
              <w:rPr>
                <w:rFonts w:hint="eastAsia" w:ascii="宋体" w:hAnsi="宋体" w:cs="宋体"/>
                <w:sz w:val="24"/>
              </w:rPr>
              <w:t>2.11《工业企业厂界环境噪声排放标准》（GB12348-2008）</w:t>
            </w:r>
          </w:p>
          <w:p>
            <w:pPr>
              <w:spacing w:line="276" w:lineRule="auto"/>
              <w:jc w:val="both"/>
              <w:rPr>
                <w:rFonts w:hint="eastAsia" w:ascii="宋体" w:hAnsi="宋体" w:cs="宋体"/>
                <w:sz w:val="24"/>
              </w:rPr>
            </w:pPr>
            <w:r>
              <w:rPr>
                <w:rFonts w:hint="eastAsia" w:ascii="宋体" w:hAnsi="宋体" w:cs="宋体"/>
                <w:sz w:val="24"/>
              </w:rPr>
              <w:t>2.12《大气污染物综合排放标准》（GB16297-1996）</w:t>
            </w:r>
          </w:p>
          <w:p>
            <w:pPr>
              <w:spacing w:line="276" w:lineRule="auto"/>
              <w:jc w:val="both"/>
              <w:rPr>
                <w:rFonts w:hint="eastAsia" w:ascii="宋体" w:hAnsi="宋体" w:cs="宋体"/>
                <w:sz w:val="24"/>
              </w:rPr>
            </w:pPr>
            <w:r>
              <w:rPr>
                <w:rFonts w:hint="eastAsia" w:ascii="宋体" w:hAnsi="宋体" w:cs="宋体"/>
                <w:sz w:val="24"/>
              </w:rPr>
              <w:t>2.13《电镀污染物排放标准》（</w:t>
            </w:r>
            <w:r>
              <w:rPr>
                <w:rFonts w:ascii="宋体" w:hAnsi="宋体" w:cs="宋体"/>
                <w:sz w:val="24"/>
              </w:rPr>
              <w:t>GB21900-2008</w:t>
            </w:r>
            <w:r>
              <w:rPr>
                <w:rFonts w:hint="eastAsia" w:ascii="宋体" w:hAnsi="宋体" w:cs="宋体"/>
                <w:sz w:val="24"/>
              </w:rPr>
              <w:t>）</w:t>
            </w:r>
          </w:p>
          <w:p>
            <w:pPr>
              <w:spacing w:line="276" w:lineRule="auto"/>
              <w:rPr>
                <w:rFonts w:hint="eastAsia" w:ascii="宋体" w:hAnsi="宋体" w:cs="宋体"/>
                <w:sz w:val="24"/>
              </w:rPr>
            </w:pPr>
            <w:r>
              <w:rPr>
                <w:rFonts w:hint="eastAsia" w:ascii="宋体" w:hAnsi="宋体" w:cs="宋体"/>
                <w:sz w:val="24"/>
              </w:rPr>
              <w:t>2.14《水质样品的保存和管理技术规定》HJ 493-2009</w:t>
            </w:r>
          </w:p>
          <w:p>
            <w:pPr>
              <w:spacing w:line="276" w:lineRule="auto"/>
              <w:rPr>
                <w:rFonts w:hint="eastAsia" w:ascii="宋体" w:hAnsi="宋体" w:cs="宋体"/>
                <w:sz w:val="24"/>
              </w:rPr>
            </w:pPr>
            <w:r>
              <w:rPr>
                <w:rFonts w:hint="eastAsia" w:ascii="宋体" w:hAnsi="宋体" w:cs="宋体"/>
                <w:sz w:val="24"/>
              </w:rPr>
              <w:t>2.15《水质采样技术指导》HJ 494-2009</w:t>
            </w:r>
          </w:p>
          <w:p>
            <w:pPr>
              <w:spacing w:line="276" w:lineRule="auto"/>
              <w:rPr>
                <w:rFonts w:hint="eastAsia" w:ascii="宋体" w:hAnsi="宋体" w:cs="宋体"/>
                <w:sz w:val="24"/>
              </w:rPr>
            </w:pPr>
            <w:r>
              <w:rPr>
                <w:rFonts w:hint="eastAsia" w:ascii="宋体" w:hAnsi="宋体" w:cs="宋体"/>
                <w:sz w:val="24"/>
              </w:rPr>
              <w:t>2.16《水质采样方案设计技术规定》HJ 495-2009</w:t>
            </w:r>
          </w:p>
          <w:p>
            <w:pPr>
              <w:spacing w:line="276" w:lineRule="auto"/>
              <w:rPr>
                <w:rFonts w:hint="eastAsia" w:ascii="宋体" w:hAnsi="宋体" w:cs="宋体"/>
                <w:sz w:val="24"/>
              </w:rPr>
            </w:pPr>
            <w:r>
              <w:rPr>
                <w:rFonts w:hint="eastAsia" w:ascii="宋体" w:hAnsi="宋体" w:cs="宋体"/>
                <w:sz w:val="24"/>
              </w:rPr>
              <w:t>2.17《企业事业单位环境信息公开办法》（环境保护部令第31 号）</w:t>
            </w:r>
          </w:p>
          <w:p>
            <w:pPr>
              <w:spacing w:line="276" w:lineRule="auto"/>
              <w:rPr>
                <w:rFonts w:hint="eastAsia" w:ascii="宋体" w:hAnsi="宋体" w:cs="宋体"/>
                <w:sz w:val="24"/>
              </w:rPr>
            </w:pPr>
            <w:r>
              <w:rPr>
                <w:rFonts w:hint="eastAsia" w:ascii="宋体" w:hAnsi="宋体" w:cs="宋体"/>
                <w:sz w:val="24"/>
              </w:rPr>
              <w:t>2.18《国家重点监控企业自行监测及信息公开办法（试行）》（环发〔2013〕81 号</w:t>
            </w:r>
          </w:p>
          <w:p>
            <w:pPr>
              <w:pStyle w:val="40"/>
              <w:tabs>
                <w:tab w:val="left" w:pos="7470"/>
              </w:tabs>
              <w:ind w:firstLine="0" w:firstLineChars="0"/>
              <w:rPr>
                <w:rFonts w:hint="eastAsia" w:ascii="宋体" w:hAnsi="宋体" w:cs="宋体"/>
                <w:b/>
                <w:sz w:val="24"/>
              </w:rPr>
            </w:pPr>
            <w:r>
              <w:rPr>
                <w:rFonts w:ascii="宋体" w:hAnsi="宋体" w:cs="宋体"/>
                <w:b/>
                <w:sz w:val="24"/>
              </w:rPr>
              <w:tab/>
            </w:r>
          </w:p>
          <w:p>
            <w:pPr>
              <w:pStyle w:val="40"/>
              <w:ind w:firstLine="0" w:firstLineChars="0"/>
              <w:rPr>
                <w:rFonts w:hint="eastAsia" w:ascii="宋体" w:hAnsi="宋体" w:cs="宋体"/>
                <w:b/>
                <w:sz w:val="24"/>
              </w:rPr>
            </w:pPr>
            <w:r>
              <w:rPr>
                <w:rFonts w:hint="eastAsia" w:ascii="宋体" w:hAnsi="宋体" w:cs="宋体"/>
                <w:b/>
                <w:sz w:val="24"/>
              </w:rPr>
              <w:t>3.监测项目、点位、频次及方法</w:t>
            </w:r>
          </w:p>
          <w:p>
            <w:pPr>
              <w:pStyle w:val="40"/>
              <w:ind w:firstLine="0" w:firstLineChars="0"/>
              <w:rPr>
                <w:rFonts w:hint="eastAsia" w:ascii="宋体" w:hAnsi="宋体" w:cs="宋体"/>
                <w:b/>
                <w:sz w:val="18"/>
                <w:szCs w:val="18"/>
              </w:rPr>
            </w:pPr>
            <w:r>
              <w:rPr>
                <w:rFonts w:hint="eastAsia" w:ascii="宋体" w:hAnsi="宋体" w:cs="宋体"/>
                <w:b/>
                <w:sz w:val="18"/>
                <w:szCs w:val="18"/>
              </w:rPr>
              <w:t>3.1</w:t>
            </w:r>
            <w:r>
              <w:rPr>
                <w:rFonts w:hint="eastAsia" w:ascii="宋体" w:hAnsi="宋体" w:cs="宋体"/>
                <w:sz w:val="18"/>
                <w:szCs w:val="18"/>
              </w:rPr>
              <w:t>废水监测项目、点位、频次及方法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025"/>
              <w:gridCol w:w="1136"/>
              <w:gridCol w:w="1132"/>
              <w:gridCol w:w="1045"/>
              <w:gridCol w:w="1305"/>
              <w:gridCol w:w="1260"/>
              <w:gridCol w:w="3150"/>
              <w:gridCol w:w="1185"/>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exact"/>
              </w:trPr>
              <w:tc>
                <w:tcPr>
                  <w:tcW w:w="784"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项目</w:t>
                  </w:r>
                </w:p>
              </w:tc>
              <w:tc>
                <w:tcPr>
                  <w:tcW w:w="1025" w:type="dxa"/>
                  <w:shd w:val="clear" w:color="000000" w:fill="FFFFFF"/>
                  <w:noWrap w:val="0"/>
                  <w:vAlign w:val="center"/>
                </w:tcPr>
                <w:p>
                  <w:pPr>
                    <w:adjustRightInd/>
                    <w:snapToGrid/>
                    <w:spacing w:after="0"/>
                    <w:rPr>
                      <w:rFonts w:hint="eastAsia" w:ascii="宋体" w:hAnsi="宋体" w:cs="宋体"/>
                      <w:vanish/>
                      <w:sz w:val="18"/>
                      <w:szCs w:val="18"/>
                    </w:rPr>
                  </w:pPr>
                  <w:r>
                    <w:rPr>
                      <w:rFonts w:hint="eastAsia" w:ascii="宋体" w:hAnsi="宋体" w:cs="宋体"/>
                      <w:sz w:val="18"/>
                      <w:szCs w:val="18"/>
                    </w:rPr>
                    <w:t>监测点位及排放口编号经纬度</w:t>
                  </w: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监测指标</w:t>
                  </w:r>
                </w:p>
              </w:tc>
              <w:tc>
                <w:tcPr>
                  <w:tcW w:w="1132" w:type="dxa"/>
                  <w:shd w:val="clear" w:color="000000" w:fill="FFFFFF"/>
                  <w:noWrap w:val="0"/>
                  <w:vAlign w:val="center"/>
                </w:tcPr>
                <w:p>
                  <w:pPr>
                    <w:pStyle w:val="16"/>
                    <w:rPr>
                      <w:rFonts w:hint="eastAsia" w:ascii="宋体" w:hAnsi="宋体" w:eastAsia="宋体" w:cs="宋体"/>
                      <w:color w:val="auto"/>
                      <w:sz w:val="18"/>
                      <w:szCs w:val="18"/>
                    </w:rPr>
                  </w:pPr>
                </w:p>
                <w:p>
                  <w:pPr>
                    <w:adjustRightInd/>
                    <w:snapToGrid/>
                    <w:spacing w:after="0"/>
                    <w:jc w:val="center"/>
                    <w:rPr>
                      <w:rFonts w:hint="eastAsia" w:ascii="宋体" w:hAnsi="宋体" w:cs="宋体"/>
                      <w:sz w:val="18"/>
                      <w:szCs w:val="18"/>
                    </w:rPr>
                  </w:pPr>
                  <w:r>
                    <w:rPr>
                      <w:rFonts w:hint="eastAsia" w:ascii="宋体" w:hAnsi="宋体" w:cs="宋体"/>
                      <w:sz w:val="18"/>
                      <w:szCs w:val="18"/>
                    </w:rPr>
                    <w:t>执行标准</w:t>
                  </w:r>
                </w:p>
              </w:tc>
              <w:tc>
                <w:tcPr>
                  <w:tcW w:w="1045" w:type="dxa"/>
                  <w:shd w:val="clear" w:color="000000" w:fill="FFFFFF"/>
                  <w:noWrap w:val="0"/>
                  <w:vAlign w:val="center"/>
                </w:tcPr>
                <w:p>
                  <w:pPr>
                    <w:adjustRightInd/>
                    <w:snapToGrid/>
                    <w:spacing w:after="0"/>
                    <w:rPr>
                      <w:rFonts w:hint="eastAsia" w:ascii="宋体" w:hAnsi="宋体" w:cs="宋体"/>
                      <w:sz w:val="18"/>
                      <w:szCs w:val="18"/>
                    </w:rPr>
                  </w:pPr>
                </w:p>
                <w:p>
                  <w:pPr>
                    <w:adjustRightInd/>
                    <w:snapToGrid/>
                    <w:spacing w:after="0"/>
                    <w:rPr>
                      <w:rFonts w:hint="eastAsia" w:ascii="宋体" w:hAnsi="宋体" w:cs="宋体"/>
                      <w:sz w:val="18"/>
                      <w:szCs w:val="18"/>
                    </w:rPr>
                  </w:pPr>
                  <w:r>
                    <w:rPr>
                      <w:rFonts w:hint="eastAsia" w:ascii="宋体" w:hAnsi="宋体" w:cs="宋体"/>
                      <w:sz w:val="18"/>
                      <w:szCs w:val="18"/>
                    </w:rPr>
                    <w:t>许可排放限值mg/L</w:t>
                  </w:r>
                </w:p>
                <w:p>
                  <w:pPr>
                    <w:jc w:val="center"/>
                    <w:rPr>
                      <w:rFonts w:hint="eastAsia" w:ascii="宋体" w:hAnsi="宋体" w:cs="宋体"/>
                      <w:vanish/>
                      <w:sz w:val="18"/>
                      <w:szCs w:val="18"/>
                    </w:rPr>
                  </w:pPr>
                </w:p>
              </w:tc>
              <w:tc>
                <w:tcPr>
                  <w:tcW w:w="1305" w:type="dxa"/>
                  <w:noWrap w:val="0"/>
                  <w:vAlign w:val="center"/>
                </w:tcPr>
                <w:p>
                  <w:pPr>
                    <w:adjustRightInd/>
                    <w:snapToGrid/>
                    <w:spacing w:after="0"/>
                    <w:rPr>
                      <w:rFonts w:hint="eastAsia" w:ascii="宋体" w:hAnsi="宋体" w:cs="宋体"/>
                      <w:sz w:val="18"/>
                      <w:szCs w:val="18"/>
                    </w:rPr>
                  </w:pPr>
                </w:p>
                <w:p>
                  <w:pPr>
                    <w:adjustRightInd/>
                    <w:snapToGrid/>
                    <w:spacing w:after="0"/>
                    <w:jc w:val="center"/>
                    <w:rPr>
                      <w:rFonts w:hint="eastAsia" w:ascii="宋体" w:hAnsi="宋体" w:cs="宋体"/>
                      <w:sz w:val="18"/>
                      <w:szCs w:val="18"/>
                    </w:rPr>
                  </w:pPr>
                  <w:r>
                    <w:rPr>
                      <w:rFonts w:hint="eastAsia" w:ascii="宋体" w:hAnsi="宋体" w:cs="宋体"/>
                      <w:sz w:val="18"/>
                      <w:szCs w:val="18"/>
                    </w:rPr>
                    <w:t>监测方式</w:t>
                  </w:r>
                </w:p>
                <w:p>
                  <w:pPr>
                    <w:adjustRightInd/>
                    <w:snapToGrid/>
                    <w:spacing w:after="0"/>
                    <w:jc w:val="center"/>
                    <w:rPr>
                      <w:rFonts w:hint="eastAsia" w:ascii="宋体" w:hAnsi="宋体" w:cs="宋体"/>
                      <w:sz w:val="18"/>
                      <w:szCs w:val="18"/>
                    </w:rPr>
                  </w:pP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监测频次</w:t>
                  </w:r>
                </w:p>
              </w:tc>
              <w:tc>
                <w:tcPr>
                  <w:tcW w:w="3150" w:type="dxa"/>
                  <w:noWrap w:val="0"/>
                  <w:vAlign w:val="center"/>
                </w:tcPr>
                <w:p>
                  <w:pPr>
                    <w:adjustRightInd/>
                    <w:snapToGrid/>
                    <w:spacing w:after="0"/>
                    <w:jc w:val="center"/>
                    <w:rPr>
                      <w:rFonts w:hint="eastAsia" w:ascii="宋体" w:hAnsi="宋体" w:cs="宋体"/>
                      <w:sz w:val="18"/>
                      <w:szCs w:val="18"/>
                    </w:rPr>
                  </w:pPr>
                </w:p>
                <w:p>
                  <w:pPr>
                    <w:adjustRightInd/>
                    <w:snapToGrid/>
                    <w:spacing w:after="0"/>
                    <w:jc w:val="center"/>
                    <w:rPr>
                      <w:rFonts w:hint="eastAsia" w:ascii="宋体" w:hAnsi="宋体" w:cs="宋体"/>
                      <w:sz w:val="18"/>
                      <w:szCs w:val="18"/>
                    </w:rPr>
                  </w:pPr>
                  <w:r>
                    <w:rPr>
                      <w:rFonts w:hint="eastAsia" w:ascii="宋体" w:hAnsi="宋体" w:cs="宋体"/>
                      <w:sz w:val="18"/>
                      <w:szCs w:val="18"/>
                    </w:rPr>
                    <w:t>监测方法</w:t>
                  </w:r>
                </w:p>
                <w:p>
                  <w:pPr>
                    <w:adjustRightInd/>
                    <w:snapToGrid/>
                    <w:spacing w:after="0"/>
                    <w:jc w:val="center"/>
                    <w:rPr>
                      <w:rFonts w:hint="eastAsia" w:ascii="宋体" w:hAnsi="宋体" w:cs="宋体"/>
                      <w:sz w:val="18"/>
                      <w:szCs w:val="18"/>
                    </w:rPr>
                  </w:pPr>
                </w:p>
              </w:tc>
              <w:tc>
                <w:tcPr>
                  <w:tcW w:w="1185" w:type="dxa"/>
                  <w:noWrap w:val="0"/>
                  <w:vAlign w:val="center"/>
                </w:tcPr>
                <w:p>
                  <w:pPr>
                    <w:pStyle w:val="16"/>
                    <w:rPr>
                      <w:rFonts w:hint="eastAsia" w:ascii="宋体" w:hAnsi="宋体" w:eastAsia="宋体" w:cs="宋体"/>
                      <w:color w:val="auto"/>
                      <w:sz w:val="18"/>
                      <w:szCs w:val="18"/>
                    </w:rPr>
                  </w:pPr>
                  <w:r>
                    <w:rPr>
                      <w:rFonts w:hint="eastAsia" w:ascii="宋体" w:hAnsi="宋体" w:eastAsia="宋体" w:cs="宋体"/>
                      <w:color w:val="auto"/>
                      <w:sz w:val="18"/>
                      <w:szCs w:val="18"/>
                    </w:rPr>
                    <w:t>采样方法</w:t>
                  </w:r>
                </w:p>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rPr>
                      <w:rFonts w:hint="eastAsia" w:ascii="宋体" w:hAnsi="宋体" w:cs="宋体"/>
                      <w:sz w:val="18"/>
                      <w:szCs w:val="18"/>
                    </w:rPr>
                  </w:pPr>
                </w:p>
                <w:p>
                  <w:pPr>
                    <w:adjustRightInd/>
                    <w:snapToGrid/>
                    <w:spacing w:after="0"/>
                    <w:jc w:val="center"/>
                    <w:rPr>
                      <w:rFonts w:hint="eastAsia"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trPr>
              <w:tc>
                <w:tcPr>
                  <w:tcW w:w="784" w:type="dxa"/>
                  <w:vMerge w:val="restart"/>
                  <w:shd w:val="clear" w:color="000000" w:fill="FFFFFF"/>
                  <w:noWrap w:val="0"/>
                  <w:vAlign w:val="center"/>
                </w:tcPr>
                <w:p>
                  <w:pPr>
                    <w:rPr>
                      <w:rFonts w:hint="eastAsia" w:ascii="宋体" w:hAnsi="宋体" w:cs="宋体"/>
                      <w:b/>
                      <w:sz w:val="18"/>
                      <w:szCs w:val="18"/>
                    </w:rPr>
                  </w:pPr>
                  <w:r>
                    <w:rPr>
                      <w:rFonts w:hint="eastAsia" w:ascii="宋体" w:hAnsi="宋体" w:cs="宋体"/>
                      <w:b/>
                      <w:sz w:val="18"/>
                      <w:szCs w:val="18"/>
                    </w:rPr>
                    <w:t>废水</w:t>
                  </w:r>
                </w:p>
              </w:tc>
              <w:tc>
                <w:tcPr>
                  <w:tcW w:w="1025" w:type="dxa"/>
                  <w:vMerge w:val="restart"/>
                  <w:shd w:val="clear" w:color="000000" w:fill="FFFFFF"/>
                  <w:noWrap w:val="0"/>
                  <w:vAlign w:val="center"/>
                </w:tcPr>
                <w:p>
                  <w:pPr>
                    <w:adjustRightInd/>
                    <w:snapToGrid/>
                    <w:spacing w:after="0"/>
                    <w:jc w:val="center"/>
                    <w:rPr>
                      <w:rFonts w:hint="eastAsia" w:ascii="宋体" w:hAnsi="宋体" w:eastAsia="宋体" w:cs="宋体"/>
                      <w:b/>
                      <w:sz w:val="18"/>
                      <w:szCs w:val="18"/>
                      <w:lang w:val="en-US" w:eastAsia="zh-CN"/>
                    </w:rPr>
                  </w:pPr>
                  <w:r>
                    <w:rPr>
                      <w:rFonts w:hint="eastAsia" w:ascii="宋体" w:hAnsi="宋体" w:cs="宋体"/>
                      <w:b/>
                      <w:sz w:val="18"/>
                      <w:szCs w:val="18"/>
                    </w:rPr>
                    <w:t>生产废水总排放口   ws-0000</w:t>
                  </w:r>
                  <w:r>
                    <w:rPr>
                      <w:rFonts w:hint="eastAsia" w:ascii="宋体" w:hAnsi="宋体" w:cs="宋体"/>
                      <w:b/>
                      <w:sz w:val="18"/>
                      <w:szCs w:val="18"/>
                      <w:lang w:val="en-US" w:eastAsia="zh-CN"/>
                    </w:rPr>
                    <w:t>1</w:t>
                  </w:r>
                </w:p>
                <w:p>
                  <w:pPr>
                    <w:adjustRightInd/>
                    <w:snapToGrid/>
                    <w:spacing w:after="0"/>
                    <w:jc w:val="center"/>
                    <w:rPr>
                      <w:rFonts w:hint="eastAsia" w:ascii="宋体" w:hAnsi="宋体" w:cs="宋体"/>
                      <w:sz w:val="18"/>
                      <w:szCs w:val="18"/>
                    </w:rPr>
                  </w:pPr>
                </w:p>
                <w:p>
                  <w:pPr>
                    <w:jc w:val="center"/>
                    <w:rPr>
                      <w:rFonts w:hint="eastAsia" w:ascii="宋体" w:hAnsi="宋体" w:cs="宋体"/>
                      <w:b/>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化学需氧量</w:t>
                  </w:r>
                </w:p>
              </w:tc>
              <w:tc>
                <w:tcPr>
                  <w:tcW w:w="1132" w:type="dxa"/>
                  <w:vMerge w:val="restart"/>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《电镀污染物排放标准》</w:t>
                  </w:r>
                </w:p>
                <w:p>
                  <w:pPr>
                    <w:jc w:val="center"/>
                    <w:rPr>
                      <w:rFonts w:hint="eastAsia" w:ascii="宋体" w:hAnsi="宋体" w:cs="宋体"/>
                      <w:sz w:val="18"/>
                      <w:szCs w:val="18"/>
                    </w:rPr>
                  </w:pPr>
                  <w:r>
                    <w:rPr>
                      <w:rFonts w:hint="eastAsia" w:ascii="宋体" w:hAnsi="宋体" w:cs="宋体"/>
                      <w:sz w:val="18"/>
                      <w:szCs w:val="18"/>
                    </w:rPr>
                    <w:t>GB21900-2008</w:t>
                  </w: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80</w:t>
                  </w:r>
                </w:p>
              </w:tc>
              <w:tc>
                <w:tcPr>
                  <w:tcW w:w="1305" w:type="dxa"/>
                  <w:noWrap w:val="0"/>
                  <w:vAlign w:val="center"/>
                </w:tcPr>
                <w:p>
                  <w:pPr>
                    <w:adjustRightInd/>
                    <w:snapToGrid/>
                    <w:spacing w:after="0"/>
                    <w:jc w:val="center"/>
                    <w:rPr>
                      <w:rFonts w:hint="eastAsia" w:ascii="宋体" w:hAnsi="宋体" w:eastAsia="宋体" w:cs="宋体"/>
                      <w:sz w:val="18"/>
                      <w:szCs w:val="18"/>
                      <w:lang w:eastAsia="zh-CN"/>
                    </w:rPr>
                  </w:pPr>
                  <w:r>
                    <w:rPr>
                      <w:rFonts w:hint="eastAsia" w:ascii="宋体" w:hAnsi="宋体" w:cs="宋体"/>
                      <w:sz w:val="18"/>
                      <w:szCs w:val="18"/>
                      <w:lang w:eastAsia="zh-CN"/>
                    </w:rPr>
                    <w:t>自动</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1次/日</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《水质 化学需氧量的测定 重铬酸盐法》 GB/T 11914-1989</w:t>
                  </w:r>
                </w:p>
              </w:tc>
              <w:tc>
                <w:tcPr>
                  <w:tcW w:w="1185" w:type="dxa"/>
                  <w:vMerge w:val="restart"/>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瞬时采样 至少3个瞬时样</w:t>
                  </w:r>
                </w:p>
                <w:p>
                  <w:pPr>
                    <w:adjustRightInd/>
                    <w:snapToGrid/>
                    <w:spacing w:after="0"/>
                    <w:jc w:val="center"/>
                    <w:rPr>
                      <w:rFonts w:hint="eastAsia" w:ascii="宋体" w:hAnsi="宋体" w:cs="宋体"/>
                      <w:sz w:val="18"/>
                      <w:szCs w:val="18"/>
                    </w:rPr>
                  </w:pPr>
                </w:p>
              </w:tc>
              <w:tc>
                <w:tcPr>
                  <w:tcW w:w="2971" w:type="dxa"/>
                  <w:noWrap w:val="0"/>
                  <w:vAlign w:val="center"/>
                </w:tcPr>
                <w:p>
                  <w:pPr>
                    <w:pStyle w:val="16"/>
                    <w:jc w:val="center"/>
                    <w:rPr>
                      <w:rFonts w:hint="eastAsia" w:ascii="宋体" w:hAnsi="宋体" w:eastAsia="宋体" w:cs="宋体"/>
                      <w:color w:val="auto"/>
                      <w:sz w:val="18"/>
                      <w:szCs w:val="18"/>
                    </w:rPr>
                  </w:pPr>
                  <w:r>
                    <w:rPr>
                      <w:rFonts w:hint="eastAsia" w:ascii="宋体" w:hAnsi="宋体" w:eastAsia="宋体" w:cs="宋体"/>
                      <w:color w:val="auto"/>
                      <w:sz w:val="18"/>
                      <w:szCs w:val="18"/>
                    </w:rPr>
                    <w:t>设备故障时，采用手工监测，每日监测不少于4次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84" w:type="dxa"/>
                  <w:vMerge w:val="continue"/>
                  <w:shd w:val="clear" w:color="000000" w:fill="FFFFFF"/>
                  <w:noWrap w:val="0"/>
                  <w:vAlign w:val="center"/>
                </w:tcPr>
                <w:p>
                  <w:pPr>
                    <w:jc w:val="center"/>
                    <w:rPr>
                      <w:rFonts w:hint="eastAsia" w:ascii="宋体" w:hAnsi="宋体" w:cs="宋体"/>
                      <w:sz w:val="18"/>
                      <w:szCs w:val="18"/>
                    </w:rPr>
                  </w:pPr>
                </w:p>
              </w:tc>
              <w:tc>
                <w:tcPr>
                  <w:tcW w:w="1025" w:type="dxa"/>
                  <w:vMerge w:val="continue"/>
                  <w:shd w:val="clear" w:color="000000" w:fill="FFFFFF"/>
                  <w:noWrap w:val="0"/>
                  <w:vAlign w:val="center"/>
                </w:tcPr>
                <w:p>
                  <w:pPr>
                    <w:jc w:val="center"/>
                    <w:rPr>
                      <w:rFonts w:hint="eastAsia" w:ascii="宋体" w:hAnsi="宋体" w:cs="宋体"/>
                      <w:b/>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氨氮</w:t>
                  </w:r>
                </w:p>
              </w:tc>
              <w:tc>
                <w:tcPr>
                  <w:tcW w:w="1132" w:type="dxa"/>
                  <w:vMerge w:val="continue"/>
                  <w:shd w:val="clear" w:color="000000" w:fill="FFFFFF"/>
                  <w:noWrap w:val="0"/>
                  <w:vAlign w:val="center"/>
                </w:tcPr>
                <w:p>
                  <w:pPr>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15</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1次/月</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《水质 氨氮的测定　 纳氏试剂分光光度法》 HJ 535-2009</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exact"/>
              </w:trPr>
              <w:tc>
                <w:tcPr>
                  <w:tcW w:w="784" w:type="dxa"/>
                  <w:vMerge w:val="continue"/>
                  <w:shd w:val="clear" w:color="000000" w:fill="FFFFFF"/>
                  <w:noWrap w:val="0"/>
                  <w:vAlign w:val="center"/>
                </w:tcPr>
                <w:p>
                  <w:pPr>
                    <w:jc w:val="center"/>
                    <w:rPr>
                      <w:rFonts w:hint="eastAsia" w:ascii="宋体" w:hAnsi="宋体" w:cs="宋体"/>
                      <w:sz w:val="18"/>
                      <w:szCs w:val="18"/>
                    </w:rPr>
                  </w:pPr>
                </w:p>
              </w:tc>
              <w:tc>
                <w:tcPr>
                  <w:tcW w:w="1025" w:type="dxa"/>
                  <w:vMerge w:val="continue"/>
                  <w:shd w:val="clear" w:color="000000" w:fill="FFFFFF"/>
                  <w:noWrap w:val="0"/>
                  <w:vAlign w:val="center"/>
                </w:tcPr>
                <w:p>
                  <w:pPr>
                    <w:jc w:val="center"/>
                    <w:rPr>
                      <w:rFonts w:hint="eastAsia" w:ascii="宋体" w:hAnsi="宋体" w:cs="宋体"/>
                      <w:b/>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pH值</w:t>
                  </w:r>
                </w:p>
              </w:tc>
              <w:tc>
                <w:tcPr>
                  <w:tcW w:w="1132" w:type="dxa"/>
                  <w:vMerge w:val="continue"/>
                  <w:shd w:val="clear" w:color="000000" w:fill="FFFFFF"/>
                  <w:noWrap w:val="0"/>
                  <w:vAlign w:val="center"/>
                </w:tcPr>
                <w:p>
                  <w:pPr>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6-9</w:t>
                  </w:r>
                </w:p>
              </w:tc>
              <w:tc>
                <w:tcPr>
                  <w:tcW w:w="1305" w:type="dxa"/>
                  <w:noWrap w:val="0"/>
                  <w:vAlign w:val="center"/>
                </w:tcPr>
                <w:p>
                  <w:pPr>
                    <w:adjustRightInd/>
                    <w:snapToGrid/>
                    <w:spacing w:after="0"/>
                    <w:jc w:val="center"/>
                    <w:rPr>
                      <w:rFonts w:hint="eastAsia" w:ascii="宋体" w:hAnsi="宋体" w:eastAsia="宋体" w:cs="宋体"/>
                      <w:sz w:val="18"/>
                      <w:szCs w:val="18"/>
                      <w:lang w:eastAsia="zh-CN"/>
                    </w:rPr>
                  </w:pPr>
                  <w:r>
                    <w:rPr>
                      <w:rFonts w:hint="eastAsia" w:ascii="宋体" w:hAnsi="宋体" w:cs="宋体"/>
                      <w:sz w:val="18"/>
                      <w:szCs w:val="18"/>
                      <w:lang w:eastAsia="zh-CN"/>
                    </w:rPr>
                    <w:t>自动</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1次/日</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《水质 PH 值的测定 玻璃电极法》GB/T 6920-1986</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设备故障时，采用手工监测，每日监测不少于4次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exact"/>
              </w:trPr>
              <w:tc>
                <w:tcPr>
                  <w:tcW w:w="784" w:type="dxa"/>
                  <w:vMerge w:val="continue"/>
                  <w:shd w:val="clear" w:color="000000" w:fill="FFFFFF"/>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000000" w:fill="FFFFFF"/>
                  <w:noWrap w:val="0"/>
                  <w:vAlign w:val="center"/>
                </w:tcPr>
                <w:p>
                  <w:pPr>
                    <w:adjustRightInd/>
                    <w:snapToGrid/>
                    <w:spacing w:after="0"/>
                    <w:jc w:val="center"/>
                    <w:rPr>
                      <w:rFonts w:hint="eastAsia" w:ascii="宋体" w:hAnsi="宋体" w:cs="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流量</w:t>
                  </w:r>
                </w:p>
              </w:tc>
              <w:tc>
                <w:tcPr>
                  <w:tcW w:w="1132" w:type="dxa"/>
                  <w:vMerge w:val="continue"/>
                  <w:shd w:val="clear" w:color="000000" w:fill="FFFFFF"/>
                  <w:noWrap w:val="0"/>
                  <w:vAlign w:val="center"/>
                </w:tcPr>
                <w:p>
                  <w:pPr>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自动</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连续</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c>
                <w:tcPr>
                  <w:tcW w:w="118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exact"/>
              </w:trPr>
              <w:tc>
                <w:tcPr>
                  <w:tcW w:w="784" w:type="dxa"/>
                  <w:vMerge w:val="continue"/>
                  <w:shd w:val="clear" w:color="000000" w:fill="FFFFFF"/>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000000" w:fill="FFFFFF"/>
                  <w:noWrap w:val="0"/>
                  <w:vAlign w:val="center"/>
                </w:tcPr>
                <w:p>
                  <w:pPr>
                    <w:adjustRightInd/>
                    <w:snapToGrid/>
                    <w:spacing w:after="0"/>
                    <w:jc w:val="center"/>
                    <w:rPr>
                      <w:rFonts w:hint="eastAsia" w:ascii="宋体" w:hAnsi="宋体" w:cs="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总铜</w:t>
                  </w:r>
                </w:p>
              </w:tc>
              <w:tc>
                <w:tcPr>
                  <w:tcW w:w="1132" w:type="dxa"/>
                  <w:vMerge w:val="continue"/>
                  <w:shd w:val="clear" w:color="000000" w:fill="FFFFFF"/>
                  <w:noWrap w:val="0"/>
                  <w:vAlign w:val="center"/>
                </w:tcPr>
                <w:p>
                  <w:pPr>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0.5</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1次/日</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《水质  苯胺类的测定 N-（1奈基）乙二胺偶氮分光光度法》GB/T11889-1989</w:t>
                  </w:r>
                </w:p>
              </w:tc>
              <w:tc>
                <w:tcPr>
                  <w:tcW w:w="1185" w:type="dxa"/>
                  <w:vMerge w:val="restart"/>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瞬时采样 至少3个瞬时样</w:t>
                  </w: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exac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悬浮物</w:t>
                  </w:r>
                </w:p>
              </w:tc>
              <w:tc>
                <w:tcPr>
                  <w:tcW w:w="1132" w:type="dxa"/>
                  <w:vMerge w:val="continue"/>
                  <w:shd w:val="clear" w:color="000000" w:fill="FFFFFF"/>
                  <w:noWrap w:val="0"/>
                  <w:vAlign w:val="center"/>
                </w:tcPr>
                <w:p>
                  <w:pPr>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50</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 xml:space="preserve">1次/月   </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《水质 悬浮物的测定 重量法》GB/T 11901-1989</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exac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总氮（以N计）</w:t>
                  </w:r>
                </w:p>
              </w:tc>
              <w:tc>
                <w:tcPr>
                  <w:tcW w:w="1132" w:type="dxa"/>
                  <w:vMerge w:val="continue"/>
                  <w:shd w:val="clear" w:color="000000" w:fill="FFFFFF"/>
                  <w:noWrap w:val="0"/>
                  <w:vAlign w:val="center"/>
                </w:tcPr>
                <w:p>
                  <w:pPr>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20</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1次/日</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 xml:space="preserve">《水质 总氮的测定 碱性过硫酸钾消解紫外分光光度法》 </w:t>
                  </w:r>
                </w:p>
                <w:p>
                  <w:pPr>
                    <w:adjustRightInd/>
                    <w:snapToGrid/>
                    <w:spacing w:after="0"/>
                    <w:jc w:val="center"/>
                    <w:rPr>
                      <w:rFonts w:hint="eastAsia" w:ascii="宋体" w:hAnsi="宋体" w:cs="宋体"/>
                      <w:sz w:val="18"/>
                      <w:szCs w:val="18"/>
                    </w:rPr>
                  </w:pPr>
                  <w:r>
                    <w:rPr>
                      <w:rFonts w:ascii="宋体" w:hAnsi="宋体" w:cs="宋体"/>
                      <w:sz w:val="18"/>
                      <w:szCs w:val="18"/>
                    </w:rPr>
                    <w:t>HJ 636-2012</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石油类</w:t>
                  </w:r>
                </w:p>
              </w:tc>
              <w:tc>
                <w:tcPr>
                  <w:tcW w:w="1132" w:type="dxa"/>
                  <w:vMerge w:val="continue"/>
                  <w:shd w:val="clear" w:color="000000" w:fill="FFFFFF"/>
                  <w:noWrap w:val="0"/>
                  <w:vAlign w:val="center"/>
                </w:tcPr>
                <w:p>
                  <w:pPr>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3.0</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1次/月</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《水质 五日生化需氧量（BOD</w:t>
                  </w:r>
                  <w:r>
                    <w:rPr>
                      <w:rFonts w:hint="eastAsia" w:ascii="宋体" w:hAnsi="宋体" w:cs="宋体"/>
                      <w:sz w:val="18"/>
                      <w:szCs w:val="18"/>
                      <w:vertAlign w:val="subscript"/>
                    </w:rPr>
                    <w:t>5</w:t>
                  </w:r>
                  <w:r>
                    <w:rPr>
                      <w:rFonts w:hint="eastAsia" w:ascii="宋体" w:hAnsi="宋体" w:cs="宋体"/>
                      <w:sz w:val="18"/>
                      <w:szCs w:val="18"/>
                    </w:rPr>
                    <w:t>）的测定 稀释与接种法》 HJ 505-2009</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总磷（以P计）</w:t>
                  </w:r>
                </w:p>
              </w:tc>
              <w:tc>
                <w:tcPr>
                  <w:tcW w:w="1132" w:type="dxa"/>
                  <w:vMerge w:val="continue"/>
                  <w:shd w:val="clear" w:color="000000" w:fill="FFFFFF"/>
                  <w:noWrap w:val="0"/>
                  <w:vAlign w:val="center"/>
                </w:tcPr>
                <w:p>
                  <w:pPr>
                    <w:adjustRightInd/>
                    <w:snapToGrid/>
                    <w:spacing w:after="0"/>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1.0</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1次/月</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《水质 总磷的测定 流动注射-钼酸铵分光光度法》HJ671-2013</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auto" w:fill="auto"/>
                  <w:noWrap w:val="0"/>
                  <w:vAlign w:val="top"/>
                </w:tcPr>
                <w:p>
                  <w:pPr>
                    <w:rPr>
                      <w:rFonts w:hint="eastAsia" w:ascii="宋体" w:hAnsi="宋体" w:cs="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五日生化需氧</w:t>
                  </w:r>
                </w:p>
              </w:tc>
              <w:tc>
                <w:tcPr>
                  <w:tcW w:w="1132" w:type="dxa"/>
                  <w:vMerge w:val="continue"/>
                  <w:shd w:val="clear" w:color="000000" w:fill="FFFFFF"/>
                  <w:noWrap w:val="0"/>
                  <w:vAlign w:val="center"/>
                </w:tcPr>
                <w:p>
                  <w:pPr>
                    <w:adjustRightInd/>
                    <w:snapToGrid/>
                    <w:spacing w:after="0"/>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ascii="宋体" w:hAnsi="宋体" w:cs="宋体"/>
                      <w:sz w:val="18"/>
                      <w:szCs w:val="18"/>
                    </w:rPr>
                    <w:t>230</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1次/季度</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 xml:space="preserve">《水质五日生化需氧量（BOD5）的测定 稀释与接种法》 </w:t>
                  </w:r>
                </w:p>
                <w:p>
                  <w:pPr>
                    <w:adjustRightInd/>
                    <w:snapToGrid/>
                    <w:spacing w:after="0"/>
                    <w:jc w:val="center"/>
                    <w:rPr>
                      <w:rFonts w:hint="eastAsia" w:ascii="宋体" w:hAnsi="宋体" w:cs="宋体"/>
                      <w:sz w:val="18"/>
                      <w:szCs w:val="18"/>
                    </w:rPr>
                  </w:pPr>
                  <w:r>
                    <w:rPr>
                      <w:rFonts w:ascii="宋体" w:hAnsi="宋体" w:cs="宋体"/>
                      <w:sz w:val="18"/>
                      <w:szCs w:val="18"/>
                    </w:rPr>
                    <w:t>HJ 505-2009</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满足污水综合排放标准，同时满足污水处理厂进水要求。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84" w:type="dxa"/>
                  <w:vMerge w:val="continue"/>
                  <w:shd w:val="clear" w:color="auto" w:fill="auto"/>
                  <w:noWrap w:val="0"/>
                  <w:vAlign w:val="center"/>
                </w:tcPr>
                <w:p>
                  <w:pPr>
                    <w:adjustRightInd/>
                    <w:snapToGrid/>
                    <w:spacing w:after="0"/>
                    <w:jc w:val="center"/>
                    <w:rPr>
                      <w:rFonts w:hint="eastAsia" w:ascii="宋体" w:hAnsi="宋体" w:cs="宋体"/>
                      <w:sz w:val="18"/>
                      <w:szCs w:val="18"/>
                    </w:rPr>
                  </w:pPr>
                </w:p>
              </w:tc>
              <w:tc>
                <w:tcPr>
                  <w:tcW w:w="1025" w:type="dxa"/>
                  <w:vMerge w:val="continue"/>
                  <w:shd w:val="clear" w:color="auto" w:fill="auto"/>
                  <w:noWrap w:val="0"/>
                  <w:vAlign w:val="top"/>
                </w:tcPr>
                <w:p>
                  <w:pPr>
                    <w:rPr>
                      <w:rFonts w:hint="eastAsia" w:ascii="宋体" w:hAnsi="宋体" w:cs="宋体"/>
                      <w:sz w:val="18"/>
                      <w:szCs w:val="18"/>
                    </w:rPr>
                  </w:pP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动植物油</w:t>
                  </w:r>
                </w:p>
              </w:tc>
              <w:tc>
                <w:tcPr>
                  <w:tcW w:w="1132" w:type="dxa"/>
                  <w:vMerge w:val="continue"/>
                  <w:shd w:val="clear" w:color="000000" w:fill="FFFFFF"/>
                  <w:noWrap w:val="0"/>
                  <w:vAlign w:val="center"/>
                </w:tcPr>
                <w:p>
                  <w:pPr>
                    <w:adjustRightInd/>
                    <w:snapToGrid/>
                    <w:spacing w:after="0"/>
                    <w:jc w:val="center"/>
                    <w:rPr>
                      <w:rFonts w:hint="eastAsia" w:ascii="宋体" w:hAnsi="宋体" w:cs="宋体"/>
                      <w:sz w:val="18"/>
                      <w:szCs w:val="18"/>
                    </w:rPr>
                  </w:pP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ascii="宋体" w:hAnsi="宋体" w:cs="宋体"/>
                      <w:sz w:val="18"/>
                      <w:szCs w:val="18"/>
                    </w:rPr>
                    <w:t>100</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1次/季度</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 xml:space="preserve">《水质 石油类和动植物油类的测定 红外分光光度法》 </w:t>
                  </w:r>
                </w:p>
                <w:p>
                  <w:pPr>
                    <w:adjustRightInd/>
                    <w:snapToGrid/>
                    <w:spacing w:after="0"/>
                    <w:jc w:val="center"/>
                    <w:rPr>
                      <w:rFonts w:hint="eastAsia" w:ascii="宋体" w:hAnsi="宋体" w:cs="宋体"/>
                      <w:sz w:val="18"/>
                      <w:szCs w:val="18"/>
                    </w:rPr>
                  </w:pPr>
                  <w:r>
                    <w:rPr>
                      <w:rFonts w:ascii="宋体" w:hAnsi="宋体" w:cs="宋体"/>
                      <w:sz w:val="18"/>
                      <w:szCs w:val="18"/>
                    </w:rPr>
                    <w:t>HJ 637-2012</w:t>
                  </w:r>
                </w:p>
              </w:tc>
              <w:tc>
                <w:tcPr>
                  <w:tcW w:w="1185" w:type="dxa"/>
                  <w:vMerge w:val="continue"/>
                  <w:noWrap w:val="0"/>
                  <w:vAlign w:val="center"/>
                </w:tcPr>
                <w:p>
                  <w:pPr>
                    <w:adjustRightInd/>
                    <w:snapToGrid/>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满足污水综合排放标准，同时满足污水处理厂进水要求。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8" w:hRule="exact"/>
              </w:trPr>
              <w:tc>
                <w:tcPr>
                  <w:tcW w:w="784" w:type="dxa"/>
                  <w:shd w:val="clear" w:color="auto" w:fill="auto"/>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废水</w:t>
                  </w:r>
                </w:p>
              </w:tc>
              <w:tc>
                <w:tcPr>
                  <w:tcW w:w="1025" w:type="dxa"/>
                  <w:shd w:val="clear" w:color="auto" w:fill="auto"/>
                  <w:noWrap w:val="0"/>
                  <w:vAlign w:val="center"/>
                </w:tcPr>
                <w:p>
                  <w:pPr>
                    <w:adjustRightInd/>
                    <w:snapToGrid/>
                    <w:spacing w:after="0"/>
                    <w:jc w:val="center"/>
                    <w:rPr>
                      <w:rFonts w:hint="eastAsia" w:ascii="宋体" w:hAnsi="宋体" w:eastAsia="宋体" w:cs="宋体"/>
                      <w:sz w:val="18"/>
                      <w:szCs w:val="18"/>
                      <w:lang w:val="en-US" w:eastAsia="zh-CN"/>
                    </w:rPr>
                  </w:pPr>
                  <w:r>
                    <w:rPr>
                      <w:rFonts w:hint="eastAsia" w:ascii="宋体" w:hAnsi="宋体" w:cs="宋体"/>
                      <w:sz w:val="18"/>
                      <w:szCs w:val="18"/>
                    </w:rPr>
                    <w:t>含镍生产车间废水排放口WS-0000</w:t>
                  </w:r>
                  <w:r>
                    <w:rPr>
                      <w:rFonts w:hint="eastAsia" w:ascii="宋体" w:hAnsi="宋体" w:cs="宋体"/>
                      <w:sz w:val="18"/>
                      <w:szCs w:val="18"/>
                      <w:lang w:val="en-US" w:eastAsia="zh-CN"/>
                    </w:rPr>
                    <w:t>2</w:t>
                  </w:r>
                </w:p>
              </w:tc>
              <w:tc>
                <w:tcPr>
                  <w:tcW w:w="1136"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总镍</w:t>
                  </w:r>
                </w:p>
              </w:tc>
              <w:tc>
                <w:tcPr>
                  <w:tcW w:w="1132"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《电镀污染物排放标准》</w:t>
                  </w:r>
                </w:p>
                <w:p>
                  <w:pPr>
                    <w:adjustRightInd/>
                    <w:snapToGrid/>
                    <w:spacing w:after="0"/>
                    <w:jc w:val="center"/>
                    <w:rPr>
                      <w:rFonts w:hint="eastAsia" w:ascii="宋体" w:hAnsi="宋体" w:cs="宋体"/>
                      <w:sz w:val="18"/>
                      <w:szCs w:val="18"/>
                    </w:rPr>
                  </w:pPr>
                  <w:r>
                    <w:rPr>
                      <w:rFonts w:ascii="宋体" w:hAnsi="宋体" w:cs="宋体"/>
                      <w:sz w:val="18"/>
                      <w:szCs w:val="18"/>
                    </w:rPr>
                    <w:t>GB21900-2008</w:t>
                  </w:r>
                </w:p>
              </w:tc>
              <w:tc>
                <w:tcPr>
                  <w:tcW w:w="1045"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0.5</w:t>
                  </w:r>
                </w:p>
              </w:tc>
              <w:tc>
                <w:tcPr>
                  <w:tcW w:w="1305"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26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1次/日</w:t>
                  </w:r>
                </w:p>
              </w:tc>
              <w:tc>
                <w:tcPr>
                  <w:tcW w:w="3150"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《水质 镍的测定 火焰原子吸收分光光度法》</w:t>
                  </w:r>
                  <w:r>
                    <w:rPr>
                      <w:rFonts w:ascii="宋体" w:hAnsi="宋体" w:cs="宋体"/>
                      <w:sz w:val="18"/>
                      <w:szCs w:val="18"/>
                    </w:rPr>
                    <w:t>GB 11912-89</w:t>
                  </w:r>
                </w:p>
              </w:tc>
              <w:tc>
                <w:tcPr>
                  <w:tcW w:w="1185" w:type="dxa"/>
                  <w:noWrap w:val="0"/>
                  <w:vAlign w:val="center"/>
                </w:tcPr>
                <w:p>
                  <w:pPr>
                    <w:adjustRightInd/>
                    <w:snapToGrid/>
                    <w:spacing w:after="0"/>
                    <w:jc w:val="center"/>
                    <w:rPr>
                      <w:rFonts w:ascii="宋体" w:hAnsi="宋体" w:cs="宋体"/>
                      <w:sz w:val="18"/>
                      <w:szCs w:val="18"/>
                    </w:rPr>
                  </w:pPr>
                  <w:r>
                    <w:rPr>
                      <w:rFonts w:hint="eastAsia" w:ascii="宋体" w:hAnsi="宋体" w:cs="宋体"/>
                      <w:sz w:val="18"/>
                      <w:szCs w:val="18"/>
                    </w:rPr>
                    <w:t>瞬时采样 至少3个瞬时样</w:t>
                  </w:r>
                </w:p>
                <w:p>
                  <w:pPr>
                    <w:spacing w:after="0"/>
                    <w:jc w:val="center"/>
                    <w:rPr>
                      <w:rFonts w:hint="eastAsia" w:ascii="宋体" w:hAnsi="宋体" w:cs="宋体"/>
                      <w:sz w:val="18"/>
                      <w:szCs w:val="18"/>
                    </w:rPr>
                  </w:pPr>
                </w:p>
              </w:tc>
              <w:tc>
                <w:tcPr>
                  <w:tcW w:w="297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bl>
          <w:p>
            <w:pPr>
              <w:pStyle w:val="40"/>
              <w:tabs>
                <w:tab w:val="left" w:pos="3990"/>
              </w:tabs>
              <w:ind w:firstLine="0" w:firstLineChars="0"/>
              <w:rPr>
                <w:rFonts w:hint="eastAsia" w:ascii="宋体" w:hAnsi="宋体" w:cs="宋体"/>
                <w:b/>
                <w:sz w:val="18"/>
                <w:szCs w:val="18"/>
              </w:rPr>
            </w:pPr>
          </w:p>
          <w:p>
            <w:pPr>
              <w:pStyle w:val="40"/>
              <w:tabs>
                <w:tab w:val="left" w:pos="3990"/>
              </w:tabs>
              <w:ind w:firstLine="0" w:firstLineChars="0"/>
              <w:rPr>
                <w:rFonts w:hint="eastAsia" w:ascii="宋体" w:hAnsi="宋体" w:cs="宋体"/>
                <w:b/>
                <w:sz w:val="18"/>
                <w:szCs w:val="18"/>
              </w:rPr>
            </w:pPr>
            <w:r>
              <w:rPr>
                <w:rFonts w:hint="eastAsia" w:ascii="宋体" w:hAnsi="宋体" w:cs="宋体"/>
                <w:b/>
                <w:sz w:val="18"/>
                <w:szCs w:val="18"/>
              </w:rPr>
              <w:t>3.2</w:t>
            </w:r>
            <w:r>
              <w:rPr>
                <w:rFonts w:hint="eastAsia" w:ascii="宋体" w:hAnsi="宋体" w:cs="宋体"/>
                <w:sz w:val="18"/>
                <w:szCs w:val="18"/>
              </w:rPr>
              <w:t>有组织废气监测项目、点位、频次及方法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100"/>
              <w:gridCol w:w="1090"/>
              <w:gridCol w:w="2907"/>
              <w:gridCol w:w="1138"/>
              <w:gridCol w:w="681"/>
              <w:gridCol w:w="839"/>
              <w:gridCol w:w="3253"/>
              <w:gridCol w:w="930"/>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701"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排放形式</w:t>
                  </w:r>
                </w:p>
              </w:tc>
              <w:tc>
                <w:tcPr>
                  <w:tcW w:w="1100" w:type="dxa"/>
                  <w:shd w:val="clear" w:color="000000" w:fill="FFFFFF"/>
                  <w:noWrap w:val="0"/>
                  <w:vAlign w:val="center"/>
                </w:tcPr>
                <w:p>
                  <w:pPr>
                    <w:adjustRightInd/>
                    <w:snapToGrid/>
                    <w:spacing w:after="0"/>
                    <w:jc w:val="center"/>
                    <w:rPr>
                      <w:rFonts w:hint="eastAsia" w:ascii="宋体" w:hAnsi="宋体" w:cs="宋体"/>
                      <w:vanish/>
                      <w:sz w:val="18"/>
                      <w:szCs w:val="18"/>
                    </w:rPr>
                  </w:pPr>
                  <w:r>
                    <w:rPr>
                      <w:rFonts w:hint="eastAsia" w:ascii="宋体" w:hAnsi="宋体" w:cs="宋体"/>
                      <w:color w:val="333333"/>
                      <w:sz w:val="18"/>
                      <w:szCs w:val="18"/>
                    </w:rPr>
                    <w:t>监测点位及排放口编号</w:t>
                  </w:r>
                </w:p>
              </w:tc>
              <w:tc>
                <w:tcPr>
                  <w:tcW w:w="1090"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监测指标</w:t>
                  </w:r>
                </w:p>
              </w:tc>
              <w:tc>
                <w:tcPr>
                  <w:tcW w:w="2907" w:type="dxa"/>
                  <w:shd w:val="clear" w:color="000000" w:fill="FFFFFF"/>
                  <w:noWrap w:val="0"/>
                  <w:vAlign w:val="center"/>
                </w:tcPr>
                <w:p>
                  <w:pPr>
                    <w:pStyle w:val="16"/>
                    <w:jc w:val="center"/>
                    <w:rPr>
                      <w:rFonts w:hint="eastAsia" w:ascii="宋体" w:hAnsi="宋体" w:eastAsia="宋体" w:cs="宋体"/>
                      <w:color w:val="auto"/>
                      <w:sz w:val="18"/>
                      <w:szCs w:val="18"/>
                    </w:rPr>
                  </w:pPr>
                </w:p>
                <w:p>
                  <w:pPr>
                    <w:pStyle w:val="16"/>
                    <w:jc w:val="center"/>
                    <w:rPr>
                      <w:rFonts w:hint="eastAsia" w:ascii="宋体" w:hAnsi="宋体" w:eastAsia="宋体" w:cs="宋体"/>
                      <w:color w:val="auto"/>
                      <w:sz w:val="18"/>
                      <w:szCs w:val="18"/>
                    </w:rPr>
                  </w:pPr>
                </w:p>
                <w:p>
                  <w:pPr>
                    <w:pStyle w:val="16"/>
                    <w:jc w:val="center"/>
                    <w:rPr>
                      <w:rFonts w:hint="eastAsia" w:ascii="宋体" w:hAnsi="宋体" w:eastAsia="宋体" w:cs="宋体"/>
                      <w:color w:val="auto"/>
                      <w:sz w:val="18"/>
                      <w:szCs w:val="18"/>
                    </w:rPr>
                  </w:pPr>
                  <w:r>
                    <w:rPr>
                      <w:rFonts w:hint="eastAsia" w:ascii="宋体" w:hAnsi="宋体" w:eastAsia="宋体" w:cs="宋体"/>
                      <w:color w:val="auto"/>
                      <w:sz w:val="18"/>
                      <w:szCs w:val="18"/>
                    </w:rPr>
                    <w:t>执 行 标 准</w:t>
                  </w:r>
                </w:p>
              </w:tc>
              <w:tc>
                <w:tcPr>
                  <w:tcW w:w="1138" w:type="dxa"/>
                  <w:shd w:val="clear" w:color="000000" w:fill="FFFFFF"/>
                  <w:noWrap w:val="0"/>
                  <w:vAlign w:val="center"/>
                </w:tcPr>
                <w:p>
                  <w:pPr>
                    <w:adjustRightInd/>
                    <w:snapToGrid/>
                    <w:spacing w:after="0"/>
                    <w:jc w:val="center"/>
                    <w:rPr>
                      <w:rFonts w:hint="eastAsia" w:ascii="宋体" w:hAnsi="宋体" w:cs="宋体"/>
                      <w:sz w:val="18"/>
                      <w:szCs w:val="18"/>
                    </w:rPr>
                  </w:pPr>
                </w:p>
                <w:p>
                  <w:pPr>
                    <w:adjustRightInd/>
                    <w:snapToGrid/>
                    <w:spacing w:after="0"/>
                    <w:jc w:val="center"/>
                    <w:rPr>
                      <w:rFonts w:hint="eastAsia" w:ascii="宋体" w:hAnsi="宋体" w:cs="宋体"/>
                      <w:sz w:val="18"/>
                      <w:szCs w:val="18"/>
                    </w:rPr>
                  </w:pPr>
                  <w:r>
                    <w:rPr>
                      <w:rFonts w:hint="eastAsia" w:ascii="宋体" w:hAnsi="宋体" w:cs="宋体"/>
                      <w:sz w:val="18"/>
                      <w:szCs w:val="18"/>
                    </w:rPr>
                    <w:t>许可排放限值</w:t>
                  </w:r>
                  <w:r>
                    <w:rPr>
                      <w:rFonts w:hint="eastAsia" w:ascii="宋体" w:hAnsi="宋体" w:cs="宋体"/>
                      <w:color w:val="333333"/>
                      <w:sz w:val="18"/>
                      <w:szCs w:val="18"/>
                    </w:rPr>
                    <w:t>mg/ m³</w:t>
                  </w:r>
                </w:p>
                <w:p>
                  <w:pPr>
                    <w:jc w:val="center"/>
                    <w:rPr>
                      <w:rFonts w:hint="eastAsia" w:ascii="宋体" w:hAnsi="宋体" w:cs="宋体"/>
                      <w:vanish/>
                      <w:sz w:val="18"/>
                      <w:szCs w:val="18"/>
                    </w:rPr>
                  </w:pPr>
                </w:p>
              </w:tc>
              <w:tc>
                <w:tcPr>
                  <w:tcW w:w="681" w:type="dxa"/>
                  <w:noWrap w:val="0"/>
                  <w:vAlign w:val="center"/>
                </w:tcPr>
                <w:p>
                  <w:pPr>
                    <w:pStyle w:val="16"/>
                    <w:jc w:val="center"/>
                    <w:rPr>
                      <w:rFonts w:hint="eastAsia" w:ascii="宋体" w:hAnsi="宋体" w:eastAsia="宋体" w:cs="宋体"/>
                      <w:sz w:val="18"/>
                      <w:szCs w:val="18"/>
                    </w:rPr>
                  </w:pPr>
                </w:p>
                <w:p>
                  <w:pPr>
                    <w:pStyle w:val="16"/>
                    <w:jc w:val="center"/>
                    <w:rPr>
                      <w:rFonts w:hint="eastAsia" w:ascii="宋体" w:hAnsi="宋体" w:eastAsia="宋体" w:cs="宋体"/>
                      <w:sz w:val="18"/>
                      <w:szCs w:val="18"/>
                    </w:rPr>
                  </w:pPr>
                </w:p>
                <w:p>
                  <w:pPr>
                    <w:adjustRightInd/>
                    <w:snapToGrid/>
                    <w:spacing w:after="0"/>
                    <w:jc w:val="center"/>
                    <w:rPr>
                      <w:rFonts w:hint="eastAsia" w:ascii="宋体" w:hAnsi="宋体" w:cs="宋体"/>
                      <w:sz w:val="18"/>
                      <w:szCs w:val="18"/>
                    </w:rPr>
                  </w:pPr>
                  <w:r>
                    <w:rPr>
                      <w:rFonts w:hint="eastAsia" w:ascii="宋体" w:hAnsi="宋体" w:cs="宋体"/>
                      <w:sz w:val="18"/>
                      <w:szCs w:val="18"/>
                    </w:rPr>
                    <w:t>监测方式</w:t>
                  </w:r>
                </w:p>
                <w:p>
                  <w:pPr>
                    <w:adjustRightInd/>
                    <w:snapToGrid/>
                    <w:spacing w:after="0"/>
                    <w:jc w:val="center"/>
                    <w:rPr>
                      <w:rFonts w:hint="eastAsia" w:ascii="宋体" w:hAnsi="宋体" w:cs="宋体"/>
                      <w:sz w:val="18"/>
                      <w:szCs w:val="18"/>
                    </w:rPr>
                  </w:pPr>
                </w:p>
              </w:tc>
              <w:tc>
                <w:tcPr>
                  <w:tcW w:w="83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监测频次</w:t>
                  </w:r>
                </w:p>
              </w:tc>
              <w:tc>
                <w:tcPr>
                  <w:tcW w:w="3253" w:type="dxa"/>
                  <w:noWrap w:val="0"/>
                  <w:vAlign w:val="center"/>
                </w:tcPr>
                <w:p>
                  <w:pPr>
                    <w:adjustRightInd/>
                    <w:snapToGrid/>
                    <w:spacing w:after="0"/>
                    <w:jc w:val="center"/>
                    <w:rPr>
                      <w:rFonts w:hint="eastAsia" w:ascii="宋体" w:hAnsi="宋体" w:cs="宋体"/>
                      <w:sz w:val="18"/>
                      <w:szCs w:val="18"/>
                    </w:rPr>
                  </w:pPr>
                </w:p>
                <w:p>
                  <w:pPr>
                    <w:adjustRightInd/>
                    <w:snapToGrid/>
                    <w:spacing w:after="0"/>
                    <w:jc w:val="center"/>
                    <w:rPr>
                      <w:rFonts w:hint="eastAsia" w:ascii="宋体" w:hAnsi="宋体" w:cs="宋体"/>
                      <w:sz w:val="18"/>
                      <w:szCs w:val="18"/>
                    </w:rPr>
                  </w:pPr>
                  <w:r>
                    <w:rPr>
                      <w:rFonts w:hint="eastAsia" w:ascii="宋体" w:hAnsi="宋体" w:cs="宋体"/>
                      <w:sz w:val="18"/>
                      <w:szCs w:val="18"/>
                    </w:rPr>
                    <w:t>监测方法</w:t>
                  </w:r>
                </w:p>
                <w:p>
                  <w:pPr>
                    <w:adjustRightInd/>
                    <w:snapToGrid/>
                    <w:spacing w:after="0"/>
                    <w:jc w:val="center"/>
                    <w:rPr>
                      <w:rFonts w:hint="eastAsia" w:ascii="宋体" w:hAnsi="宋体" w:cs="宋体"/>
                      <w:sz w:val="18"/>
                      <w:szCs w:val="18"/>
                    </w:rPr>
                  </w:pPr>
                </w:p>
              </w:tc>
              <w:tc>
                <w:tcPr>
                  <w:tcW w:w="930" w:type="dxa"/>
                  <w:noWrap w:val="0"/>
                  <w:vAlign w:val="center"/>
                </w:tcPr>
                <w:p>
                  <w:pPr>
                    <w:pStyle w:val="16"/>
                    <w:jc w:val="center"/>
                    <w:rPr>
                      <w:rFonts w:hint="eastAsia" w:ascii="宋体" w:hAnsi="宋体" w:eastAsia="宋体" w:cs="宋体"/>
                      <w:sz w:val="21"/>
                      <w:szCs w:val="21"/>
                    </w:rPr>
                  </w:pPr>
                </w:p>
                <w:p>
                  <w:pPr>
                    <w:pStyle w:val="16"/>
                    <w:ind w:firstLine="105" w:firstLineChars="50"/>
                    <w:jc w:val="center"/>
                    <w:rPr>
                      <w:rFonts w:hint="eastAsia" w:ascii="宋体" w:hAnsi="宋体" w:eastAsia="宋体" w:cs="宋体"/>
                      <w:sz w:val="21"/>
                      <w:szCs w:val="21"/>
                    </w:rPr>
                  </w:pPr>
                  <w:r>
                    <w:rPr>
                      <w:rFonts w:hint="eastAsia" w:ascii="宋体" w:hAnsi="宋体" w:eastAsia="宋体" w:cs="宋体"/>
                      <w:sz w:val="21"/>
                      <w:szCs w:val="21"/>
                    </w:rPr>
                    <w:t>采样 方法</w:t>
                  </w:r>
                </w:p>
                <w:p>
                  <w:pPr>
                    <w:adjustRightInd/>
                    <w:snapToGrid/>
                    <w:spacing w:after="0"/>
                    <w:jc w:val="center"/>
                    <w:rPr>
                      <w:rFonts w:hint="eastAsia" w:ascii="宋体" w:hAnsi="宋体" w:cs="宋体"/>
                      <w:sz w:val="18"/>
                      <w:szCs w:val="18"/>
                    </w:rPr>
                  </w:pPr>
                </w:p>
              </w:tc>
              <w:tc>
                <w:tcPr>
                  <w:tcW w:w="1489" w:type="dxa"/>
                  <w:noWrap w:val="0"/>
                  <w:vAlign w:val="center"/>
                </w:tcPr>
                <w:p>
                  <w:pPr>
                    <w:pStyle w:val="16"/>
                    <w:rPr>
                      <w:rFonts w:hint="eastAsia" w:ascii="宋体" w:hAnsi="宋体" w:eastAsia="宋体" w:cs="宋体"/>
                      <w:sz w:val="21"/>
                      <w:szCs w:val="21"/>
                    </w:rPr>
                  </w:pPr>
                </w:p>
                <w:p>
                  <w:pPr>
                    <w:pStyle w:val="16"/>
                    <w:ind w:firstLine="105" w:firstLineChars="50"/>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701" w:type="dxa"/>
                  <w:shd w:val="clear" w:color="auto" w:fill="auto"/>
                  <w:noWrap w:val="0"/>
                  <w:vAlign w:val="center"/>
                </w:tcPr>
                <w:p>
                  <w:pPr>
                    <w:adjustRightInd/>
                    <w:snapToGrid/>
                    <w:spacing w:after="0"/>
                    <w:rPr>
                      <w:rFonts w:hint="eastAsia" w:ascii="宋体" w:hAnsi="宋体" w:eastAsia="宋体" w:cs="宋体"/>
                      <w:color w:val="333333"/>
                      <w:sz w:val="21"/>
                      <w:szCs w:val="21"/>
                      <w:lang w:val="en-US" w:eastAsia="zh-CN"/>
                    </w:rPr>
                  </w:pPr>
                </w:p>
              </w:tc>
              <w:tc>
                <w:tcPr>
                  <w:tcW w:w="1100" w:type="dxa"/>
                  <w:shd w:val="clear" w:color="auto" w:fill="auto"/>
                  <w:noWrap w:val="0"/>
                  <w:vAlign w:val="center"/>
                </w:tcPr>
                <w:p>
                  <w:pPr>
                    <w:adjustRightInd/>
                    <w:snapToGrid/>
                    <w:spacing w:after="0"/>
                    <w:rPr>
                      <w:rFonts w:hint="eastAsia" w:ascii="宋体" w:hAnsi="宋体" w:eastAsia="宋体" w:cs="宋体"/>
                      <w:color w:val="333333"/>
                      <w:sz w:val="21"/>
                      <w:szCs w:val="21"/>
                      <w:lang w:val="en-US" w:eastAsia="zh-CN"/>
                    </w:rPr>
                  </w:pPr>
                  <w:r>
                    <w:rPr>
                      <w:rFonts w:hint="eastAsia" w:ascii="宋体" w:hAnsi="宋体" w:cs="宋体"/>
                      <w:color w:val="333333"/>
                      <w:sz w:val="21"/>
                      <w:szCs w:val="21"/>
                      <w:lang w:val="en-US" w:eastAsia="zh-CN"/>
                    </w:rPr>
                    <w:t>FQ-0002、0003、</w:t>
                  </w:r>
                </w:p>
              </w:tc>
              <w:tc>
                <w:tcPr>
                  <w:tcW w:w="1090"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硫酸雾</w:t>
                  </w:r>
                </w:p>
              </w:tc>
              <w:tc>
                <w:tcPr>
                  <w:tcW w:w="2907" w:type="dxa"/>
                  <w:shd w:val="clear" w:color="000000" w:fill="FFFFFF"/>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rPr>
                    <w:t>电镀污染物排放标准》</w:t>
                  </w:r>
                </w:p>
                <w:p>
                  <w:pPr>
                    <w:adjustRightInd/>
                    <w:snapToGrid/>
                    <w:spacing w:after="0"/>
                    <w:jc w:val="center"/>
                    <w:rPr>
                      <w:rFonts w:hint="eastAsia" w:ascii="宋体" w:hAnsi="宋体" w:cs="宋体"/>
                      <w:color w:val="333333"/>
                      <w:sz w:val="21"/>
                      <w:szCs w:val="21"/>
                    </w:rPr>
                  </w:pPr>
                  <w:r>
                    <w:rPr>
                      <w:rFonts w:ascii="宋体" w:hAnsi="宋体" w:cs="宋体"/>
                      <w:sz w:val="18"/>
                      <w:szCs w:val="18"/>
                    </w:rPr>
                    <w:t>GB21900-2008</w:t>
                  </w:r>
                </w:p>
              </w:tc>
              <w:tc>
                <w:tcPr>
                  <w:tcW w:w="1138"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30</w:t>
                  </w:r>
                </w:p>
              </w:tc>
              <w:tc>
                <w:tcPr>
                  <w:tcW w:w="68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83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1次/半年</w:t>
                  </w:r>
                </w:p>
              </w:tc>
              <w:tc>
                <w:tcPr>
                  <w:tcW w:w="3253"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《固定污染源废气 硫酸雾的测定 离子色谱法》</w:t>
                  </w:r>
                  <w:r>
                    <w:rPr>
                      <w:rFonts w:ascii="宋体" w:hAnsi="宋体" w:cs="宋体"/>
                      <w:sz w:val="18"/>
                      <w:szCs w:val="18"/>
                    </w:rPr>
                    <w:t>HJ 544-2016</w:t>
                  </w:r>
                </w:p>
              </w:tc>
              <w:tc>
                <w:tcPr>
                  <w:tcW w:w="930" w:type="dxa"/>
                  <w:noWrap w:val="0"/>
                  <w:vAlign w:val="top"/>
                </w:tcPr>
                <w:p>
                  <w:pPr>
                    <w:adjustRightInd/>
                    <w:snapToGrid/>
                    <w:spacing w:after="0"/>
                    <w:jc w:val="center"/>
                    <w:rPr>
                      <w:rFonts w:ascii="宋体" w:hAnsi="宋体" w:cs="宋体"/>
                      <w:sz w:val="18"/>
                      <w:szCs w:val="18"/>
                    </w:rPr>
                  </w:pPr>
                </w:p>
              </w:tc>
              <w:tc>
                <w:tcPr>
                  <w:tcW w:w="148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701" w:type="dxa"/>
                  <w:shd w:val="clear" w:color="auto" w:fill="auto"/>
                  <w:noWrap w:val="0"/>
                  <w:vAlign w:val="center"/>
                </w:tcPr>
                <w:p>
                  <w:pPr>
                    <w:adjustRightInd/>
                    <w:snapToGrid/>
                    <w:spacing w:after="0"/>
                    <w:rPr>
                      <w:rFonts w:hint="eastAsia" w:ascii="宋体" w:hAnsi="宋体" w:cs="宋体"/>
                      <w:color w:val="333333"/>
                      <w:sz w:val="21"/>
                      <w:szCs w:val="21"/>
                      <w:lang w:val="en-US" w:eastAsia="zh-CN"/>
                    </w:rPr>
                  </w:pPr>
                </w:p>
              </w:tc>
              <w:tc>
                <w:tcPr>
                  <w:tcW w:w="1100" w:type="dxa"/>
                  <w:shd w:val="clear" w:color="auto" w:fill="auto"/>
                  <w:noWrap w:val="0"/>
                  <w:vAlign w:val="center"/>
                </w:tcPr>
                <w:p>
                  <w:pPr>
                    <w:adjustRightInd/>
                    <w:snapToGrid/>
                    <w:spacing w:after="0"/>
                    <w:rPr>
                      <w:rFonts w:hint="eastAsia" w:ascii="宋体" w:hAnsi="宋体" w:cs="宋体"/>
                      <w:color w:val="333333"/>
                      <w:sz w:val="21"/>
                      <w:szCs w:val="21"/>
                      <w:lang w:val="en-US" w:eastAsia="zh-CN"/>
                    </w:rPr>
                  </w:pPr>
                  <w:r>
                    <w:rPr>
                      <w:rFonts w:hint="eastAsia" w:ascii="宋体" w:hAnsi="宋体" w:cs="宋体"/>
                      <w:color w:val="333333"/>
                      <w:sz w:val="21"/>
                      <w:szCs w:val="21"/>
                      <w:lang w:val="en-US" w:eastAsia="zh-CN"/>
                    </w:rPr>
                    <w:t>FQ-0001</w:t>
                  </w:r>
                </w:p>
              </w:tc>
              <w:tc>
                <w:tcPr>
                  <w:tcW w:w="1090" w:type="dxa"/>
                  <w:shd w:val="clear" w:color="000000" w:fill="FFFFFF"/>
                  <w:noWrap w:val="0"/>
                  <w:vAlign w:val="center"/>
                </w:tcPr>
                <w:p>
                  <w:pPr>
                    <w:adjustRightInd/>
                    <w:snapToGrid/>
                    <w:spacing w:after="0"/>
                    <w:jc w:val="center"/>
                    <w:rPr>
                      <w:rFonts w:hint="eastAsia" w:ascii="宋体" w:hAnsi="宋体" w:eastAsia="宋体" w:cs="宋体"/>
                      <w:color w:val="333333"/>
                      <w:sz w:val="18"/>
                      <w:szCs w:val="18"/>
                      <w:lang w:val="en-US" w:eastAsia="zh-CN"/>
                    </w:rPr>
                  </w:pPr>
                  <w:r>
                    <w:rPr>
                      <w:rFonts w:hint="eastAsia" w:ascii="宋体" w:hAnsi="宋体" w:cs="宋体"/>
                      <w:color w:val="333333"/>
                      <w:sz w:val="18"/>
                      <w:szCs w:val="18"/>
                      <w:lang w:val="en-US" w:eastAsia="zh-CN"/>
                    </w:rPr>
                    <w:t>挥发性有机物</w:t>
                  </w:r>
                </w:p>
              </w:tc>
              <w:tc>
                <w:tcPr>
                  <w:tcW w:w="2907" w:type="dxa"/>
                  <w:shd w:val="clear" w:color="000000" w:fill="FFFFFF"/>
                  <w:noWrap w:val="0"/>
                  <w:vAlign w:val="center"/>
                </w:tcPr>
                <w:p>
                  <w:pPr>
                    <w:adjustRightInd/>
                    <w:snapToGrid/>
                    <w:spacing w:after="0"/>
                    <w:jc w:val="center"/>
                    <w:rPr>
                      <w:rFonts w:hint="eastAsia" w:ascii="宋体" w:hAnsi="宋体" w:eastAsia="宋体" w:cs="宋体"/>
                      <w:color w:val="333333"/>
                      <w:sz w:val="21"/>
                      <w:szCs w:val="21"/>
                      <w:lang w:val="en-US" w:eastAsia="zh-CN"/>
                    </w:rPr>
                  </w:pPr>
                  <w:r>
                    <w:rPr>
                      <w:rFonts w:ascii="Arial" w:hAnsi="Arial" w:eastAsia="宋体" w:cs="Arial"/>
                      <w:b w:val="0"/>
                      <w:i w:val="0"/>
                      <w:caps w:val="0"/>
                      <w:color w:val="333333"/>
                      <w:spacing w:val="0"/>
                      <w:sz w:val="21"/>
                      <w:szCs w:val="21"/>
                      <w:shd w:val="clear" w:color="auto" w:fill="FFFFFF"/>
                    </w:rPr>
                    <w:t>《工业企业挥发性有机物排放控制标准》DB13/2322-2016</w:t>
                  </w:r>
                </w:p>
              </w:tc>
              <w:tc>
                <w:tcPr>
                  <w:tcW w:w="1138" w:type="dxa"/>
                  <w:shd w:val="clear" w:color="000000" w:fill="FFFFFF"/>
                  <w:noWrap w:val="0"/>
                  <w:vAlign w:val="center"/>
                </w:tcPr>
                <w:p>
                  <w:pPr>
                    <w:adjustRightInd/>
                    <w:snapToGrid/>
                    <w:spacing w:after="0"/>
                    <w:jc w:val="center"/>
                    <w:rPr>
                      <w:rFonts w:hint="default" w:ascii="宋体" w:hAnsi="宋体" w:eastAsia="宋体" w:cs="宋体"/>
                      <w:color w:val="333333"/>
                      <w:sz w:val="18"/>
                      <w:szCs w:val="18"/>
                      <w:lang w:val="en-US" w:eastAsia="zh-CN"/>
                    </w:rPr>
                  </w:pPr>
                  <w:r>
                    <w:rPr>
                      <w:rFonts w:hint="eastAsia" w:ascii="宋体" w:hAnsi="宋体" w:cs="宋体"/>
                      <w:color w:val="333333"/>
                      <w:sz w:val="18"/>
                      <w:szCs w:val="18"/>
                      <w:lang w:val="en-US" w:eastAsia="zh-CN"/>
                    </w:rPr>
                    <w:t>80</w:t>
                  </w:r>
                </w:p>
              </w:tc>
              <w:tc>
                <w:tcPr>
                  <w:tcW w:w="681" w:type="dxa"/>
                  <w:noWrap w:val="0"/>
                  <w:vAlign w:val="center"/>
                </w:tcPr>
                <w:p>
                  <w:pPr>
                    <w:adjustRightInd/>
                    <w:snapToGrid/>
                    <w:spacing w:after="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手工</w:t>
                  </w:r>
                </w:p>
              </w:tc>
              <w:tc>
                <w:tcPr>
                  <w:tcW w:w="839" w:type="dxa"/>
                  <w:noWrap w:val="0"/>
                  <w:vAlign w:val="center"/>
                </w:tcPr>
                <w:p>
                  <w:pPr>
                    <w:adjustRightInd/>
                    <w:snapToGrid/>
                    <w:spacing w:after="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1次/半年</w:t>
                  </w:r>
                </w:p>
              </w:tc>
              <w:tc>
                <w:tcPr>
                  <w:tcW w:w="3253" w:type="dxa"/>
                  <w:noWrap w:val="0"/>
                  <w:vAlign w:val="center"/>
                </w:tcPr>
                <w:p>
                  <w:pPr>
                    <w:adjustRightInd/>
                    <w:snapToGrid/>
                    <w:spacing w:after="0"/>
                    <w:jc w:val="center"/>
                    <w:rPr>
                      <w:rFonts w:hint="eastAsia" w:ascii="宋体" w:hAnsi="宋体" w:cs="宋体"/>
                      <w:sz w:val="18"/>
                      <w:szCs w:val="18"/>
                    </w:rPr>
                  </w:pPr>
                </w:p>
              </w:tc>
              <w:tc>
                <w:tcPr>
                  <w:tcW w:w="930" w:type="dxa"/>
                  <w:noWrap w:val="0"/>
                  <w:vAlign w:val="top"/>
                </w:tcPr>
                <w:p>
                  <w:pPr>
                    <w:adjustRightInd/>
                    <w:snapToGrid/>
                    <w:spacing w:after="0"/>
                    <w:jc w:val="center"/>
                    <w:rPr>
                      <w:rFonts w:ascii="宋体" w:hAnsi="宋体" w:cs="宋体"/>
                      <w:sz w:val="18"/>
                      <w:szCs w:val="18"/>
                    </w:rPr>
                  </w:pPr>
                </w:p>
              </w:tc>
              <w:tc>
                <w:tcPr>
                  <w:tcW w:w="1489" w:type="dxa"/>
                  <w:noWrap w:val="0"/>
                  <w:vAlign w:val="center"/>
                </w:tcPr>
                <w:p>
                  <w:pPr>
                    <w:adjustRightInd/>
                    <w:snapToGrid/>
                    <w:spacing w:after="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w:t>
                  </w:r>
                </w:p>
              </w:tc>
            </w:tr>
          </w:tbl>
          <w:p>
            <w:pPr>
              <w:pStyle w:val="40"/>
              <w:ind w:firstLine="0" w:firstLineChars="0"/>
              <w:rPr>
                <w:rFonts w:hint="eastAsia" w:ascii="宋体" w:hAnsi="宋体" w:cs="宋体"/>
                <w:b/>
                <w:sz w:val="23"/>
                <w:szCs w:val="23"/>
              </w:rPr>
            </w:pPr>
          </w:p>
          <w:p>
            <w:pPr>
              <w:pStyle w:val="40"/>
              <w:ind w:firstLine="0" w:firstLineChars="0"/>
              <w:rPr>
                <w:rFonts w:hint="eastAsia" w:ascii="宋体" w:hAnsi="宋体" w:cs="宋体"/>
                <w:b/>
                <w:sz w:val="21"/>
                <w:szCs w:val="21"/>
              </w:rPr>
            </w:pPr>
            <w:r>
              <w:rPr>
                <w:rFonts w:hint="eastAsia" w:ascii="宋体" w:hAnsi="宋体" w:cs="宋体"/>
                <w:b/>
                <w:sz w:val="18"/>
                <w:szCs w:val="18"/>
              </w:rPr>
              <w:t>3.3</w:t>
            </w:r>
            <w:r>
              <w:rPr>
                <w:rFonts w:hint="eastAsia" w:ascii="宋体" w:hAnsi="宋体" w:cs="宋体"/>
                <w:sz w:val="18"/>
                <w:szCs w:val="18"/>
              </w:rPr>
              <w:t>无组织废气及噪声监测项目、点位、频次及方法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167"/>
              <w:gridCol w:w="1284"/>
              <w:gridCol w:w="3253"/>
              <w:gridCol w:w="1274"/>
              <w:gridCol w:w="762"/>
              <w:gridCol w:w="1082"/>
              <w:gridCol w:w="3497"/>
              <w:gridCol w:w="1041"/>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78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排放形式</w:t>
                  </w:r>
                </w:p>
              </w:tc>
              <w:tc>
                <w:tcPr>
                  <w:tcW w:w="1167" w:type="dxa"/>
                  <w:shd w:val="clear" w:color="000000" w:fill="FFFFFF"/>
                  <w:noWrap w:val="0"/>
                  <w:vAlign w:val="center"/>
                </w:tcPr>
                <w:p>
                  <w:pPr>
                    <w:adjustRightInd/>
                    <w:snapToGrid/>
                    <w:spacing w:after="0"/>
                    <w:jc w:val="center"/>
                    <w:rPr>
                      <w:rFonts w:hint="eastAsia" w:ascii="宋体" w:hAnsi="宋体" w:cs="宋体"/>
                      <w:vanish/>
                      <w:sz w:val="18"/>
                      <w:szCs w:val="18"/>
                    </w:rPr>
                  </w:pPr>
                  <w:r>
                    <w:rPr>
                      <w:rFonts w:hint="eastAsia" w:ascii="宋体" w:hAnsi="宋体" w:cs="宋体"/>
                      <w:color w:val="333333"/>
                      <w:sz w:val="18"/>
                      <w:szCs w:val="18"/>
                    </w:rPr>
                    <w:t>监测点位及排放口编号</w:t>
                  </w:r>
                </w:p>
              </w:tc>
              <w:tc>
                <w:tcPr>
                  <w:tcW w:w="1284"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监测指标</w:t>
                  </w:r>
                </w:p>
              </w:tc>
              <w:tc>
                <w:tcPr>
                  <w:tcW w:w="3253" w:type="dxa"/>
                  <w:shd w:val="clear" w:color="000000" w:fill="FFFFFF"/>
                  <w:noWrap w:val="0"/>
                  <w:vAlign w:val="center"/>
                </w:tcPr>
                <w:p>
                  <w:pPr>
                    <w:pStyle w:val="16"/>
                    <w:jc w:val="center"/>
                    <w:rPr>
                      <w:rFonts w:hint="eastAsia" w:ascii="宋体" w:hAnsi="宋体" w:eastAsia="宋体" w:cs="宋体"/>
                      <w:color w:val="auto"/>
                      <w:sz w:val="18"/>
                      <w:szCs w:val="18"/>
                    </w:rPr>
                  </w:pPr>
                </w:p>
                <w:p>
                  <w:pPr>
                    <w:pStyle w:val="16"/>
                    <w:jc w:val="center"/>
                    <w:rPr>
                      <w:rFonts w:hint="eastAsia" w:ascii="宋体" w:hAnsi="宋体" w:eastAsia="宋体" w:cs="宋体"/>
                      <w:color w:val="auto"/>
                      <w:sz w:val="18"/>
                      <w:szCs w:val="18"/>
                    </w:rPr>
                  </w:pPr>
                </w:p>
                <w:p>
                  <w:pPr>
                    <w:pStyle w:val="16"/>
                    <w:jc w:val="center"/>
                    <w:rPr>
                      <w:rFonts w:hint="eastAsia" w:ascii="宋体" w:hAnsi="宋体" w:eastAsia="宋体" w:cs="宋体"/>
                      <w:color w:val="auto"/>
                      <w:sz w:val="18"/>
                      <w:szCs w:val="18"/>
                    </w:rPr>
                  </w:pPr>
                  <w:r>
                    <w:rPr>
                      <w:rFonts w:hint="eastAsia" w:ascii="宋体" w:hAnsi="宋体" w:eastAsia="宋体" w:cs="宋体"/>
                      <w:color w:val="auto"/>
                      <w:sz w:val="18"/>
                      <w:szCs w:val="18"/>
                    </w:rPr>
                    <w:t>执 行 标 准</w:t>
                  </w:r>
                </w:p>
              </w:tc>
              <w:tc>
                <w:tcPr>
                  <w:tcW w:w="1274" w:type="dxa"/>
                  <w:shd w:val="clear" w:color="000000" w:fill="FFFFFF"/>
                  <w:noWrap w:val="0"/>
                  <w:vAlign w:val="center"/>
                </w:tcPr>
                <w:p>
                  <w:pPr>
                    <w:adjustRightInd/>
                    <w:snapToGrid/>
                    <w:spacing w:after="0"/>
                    <w:jc w:val="center"/>
                    <w:rPr>
                      <w:rFonts w:hint="eastAsia" w:ascii="宋体" w:hAnsi="宋体" w:cs="宋体"/>
                      <w:sz w:val="18"/>
                      <w:szCs w:val="18"/>
                    </w:rPr>
                  </w:pPr>
                </w:p>
                <w:p>
                  <w:pPr>
                    <w:adjustRightInd/>
                    <w:snapToGrid/>
                    <w:spacing w:after="0"/>
                    <w:jc w:val="center"/>
                    <w:rPr>
                      <w:rFonts w:hint="eastAsia" w:ascii="宋体" w:hAnsi="宋体" w:cs="宋体"/>
                      <w:sz w:val="18"/>
                      <w:szCs w:val="18"/>
                    </w:rPr>
                  </w:pPr>
                  <w:r>
                    <w:rPr>
                      <w:rFonts w:hint="eastAsia" w:ascii="宋体" w:hAnsi="宋体" w:cs="宋体"/>
                      <w:sz w:val="18"/>
                      <w:szCs w:val="18"/>
                    </w:rPr>
                    <w:t>许可排放限值</w:t>
                  </w:r>
                  <w:r>
                    <w:rPr>
                      <w:rFonts w:hint="eastAsia" w:ascii="宋体" w:hAnsi="宋体" w:cs="宋体"/>
                      <w:color w:val="333333"/>
                      <w:sz w:val="18"/>
                      <w:szCs w:val="18"/>
                    </w:rPr>
                    <w:t>mg/N m³</w:t>
                  </w:r>
                </w:p>
                <w:p>
                  <w:pPr>
                    <w:jc w:val="center"/>
                    <w:rPr>
                      <w:rFonts w:hint="eastAsia" w:ascii="宋体" w:hAnsi="宋体" w:cs="宋体"/>
                      <w:vanish/>
                      <w:sz w:val="18"/>
                      <w:szCs w:val="18"/>
                    </w:rPr>
                  </w:pPr>
                </w:p>
              </w:tc>
              <w:tc>
                <w:tcPr>
                  <w:tcW w:w="762" w:type="dxa"/>
                  <w:noWrap w:val="0"/>
                  <w:vAlign w:val="center"/>
                </w:tcPr>
                <w:p>
                  <w:pPr>
                    <w:pStyle w:val="16"/>
                    <w:rPr>
                      <w:rFonts w:hint="eastAsia" w:ascii="宋体" w:hAnsi="宋体" w:eastAsia="宋体" w:cs="宋体"/>
                      <w:sz w:val="18"/>
                      <w:szCs w:val="18"/>
                    </w:rPr>
                  </w:pPr>
                </w:p>
                <w:p>
                  <w:pPr>
                    <w:adjustRightInd/>
                    <w:snapToGrid/>
                    <w:spacing w:after="0"/>
                    <w:jc w:val="center"/>
                    <w:rPr>
                      <w:rFonts w:hint="eastAsia" w:ascii="宋体" w:hAnsi="宋体" w:cs="宋体"/>
                      <w:sz w:val="18"/>
                      <w:szCs w:val="18"/>
                    </w:rPr>
                  </w:pPr>
                  <w:r>
                    <w:rPr>
                      <w:rFonts w:hint="eastAsia" w:ascii="宋体" w:hAnsi="宋体" w:cs="宋体"/>
                      <w:sz w:val="18"/>
                      <w:szCs w:val="18"/>
                    </w:rPr>
                    <w:t>监测方式</w:t>
                  </w:r>
                </w:p>
                <w:p>
                  <w:pPr>
                    <w:adjustRightInd/>
                    <w:snapToGrid/>
                    <w:spacing w:after="0"/>
                    <w:jc w:val="center"/>
                    <w:rPr>
                      <w:rFonts w:hint="eastAsia" w:ascii="宋体" w:hAnsi="宋体" w:cs="宋体"/>
                      <w:sz w:val="18"/>
                      <w:szCs w:val="18"/>
                    </w:rPr>
                  </w:pPr>
                </w:p>
              </w:tc>
              <w:tc>
                <w:tcPr>
                  <w:tcW w:w="1082"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监测频次</w:t>
                  </w:r>
                </w:p>
              </w:tc>
              <w:tc>
                <w:tcPr>
                  <w:tcW w:w="3497" w:type="dxa"/>
                  <w:noWrap w:val="0"/>
                  <w:vAlign w:val="center"/>
                </w:tcPr>
                <w:p>
                  <w:pPr>
                    <w:adjustRightInd/>
                    <w:snapToGrid/>
                    <w:spacing w:after="0"/>
                    <w:jc w:val="center"/>
                    <w:rPr>
                      <w:rFonts w:hint="eastAsia" w:ascii="宋体" w:hAnsi="宋体" w:cs="宋体"/>
                      <w:sz w:val="18"/>
                      <w:szCs w:val="18"/>
                    </w:rPr>
                  </w:pPr>
                </w:p>
                <w:p>
                  <w:pPr>
                    <w:adjustRightInd/>
                    <w:snapToGrid/>
                    <w:spacing w:after="0"/>
                    <w:jc w:val="center"/>
                    <w:rPr>
                      <w:rFonts w:hint="eastAsia" w:ascii="宋体" w:hAnsi="宋体" w:cs="宋体"/>
                      <w:sz w:val="18"/>
                      <w:szCs w:val="18"/>
                    </w:rPr>
                  </w:pPr>
                  <w:r>
                    <w:rPr>
                      <w:rFonts w:hint="eastAsia" w:ascii="宋体" w:hAnsi="宋体" w:cs="宋体"/>
                      <w:sz w:val="18"/>
                      <w:szCs w:val="18"/>
                    </w:rPr>
                    <w:t>监测方法</w:t>
                  </w:r>
                </w:p>
                <w:p>
                  <w:pPr>
                    <w:adjustRightInd/>
                    <w:snapToGrid/>
                    <w:spacing w:after="0"/>
                    <w:jc w:val="center"/>
                    <w:rPr>
                      <w:rFonts w:hint="eastAsia" w:ascii="宋体" w:hAnsi="宋体" w:cs="宋体"/>
                      <w:sz w:val="18"/>
                      <w:szCs w:val="18"/>
                    </w:rPr>
                  </w:pPr>
                </w:p>
              </w:tc>
              <w:tc>
                <w:tcPr>
                  <w:tcW w:w="1041" w:type="dxa"/>
                  <w:noWrap w:val="0"/>
                  <w:vAlign w:val="center"/>
                </w:tcPr>
                <w:p>
                  <w:pPr>
                    <w:pStyle w:val="16"/>
                    <w:ind w:left="180" w:hanging="180" w:hangingChars="100"/>
                    <w:rPr>
                      <w:rFonts w:hint="eastAsia" w:ascii="宋体" w:hAnsi="宋体" w:eastAsia="宋体" w:cs="宋体"/>
                      <w:sz w:val="18"/>
                      <w:szCs w:val="18"/>
                    </w:rPr>
                  </w:pPr>
                  <w:r>
                    <w:rPr>
                      <w:rFonts w:hint="eastAsia" w:ascii="宋体" w:hAnsi="宋体" w:eastAsia="宋体" w:cs="宋体"/>
                      <w:sz w:val="18"/>
                      <w:szCs w:val="18"/>
                    </w:rPr>
                    <w:t>采样方法</w:t>
                  </w:r>
                </w:p>
                <w:p>
                  <w:pPr>
                    <w:adjustRightInd/>
                    <w:snapToGrid/>
                    <w:spacing w:after="0"/>
                    <w:jc w:val="center"/>
                    <w:rPr>
                      <w:rFonts w:hint="eastAsia" w:ascii="宋体" w:hAnsi="宋体" w:cs="宋体"/>
                      <w:sz w:val="18"/>
                      <w:szCs w:val="18"/>
                    </w:rPr>
                  </w:pPr>
                </w:p>
              </w:tc>
              <w:tc>
                <w:tcPr>
                  <w:tcW w:w="849" w:type="dxa"/>
                  <w:noWrap w:val="0"/>
                  <w:vAlign w:val="center"/>
                </w:tcPr>
                <w:p>
                  <w:pPr>
                    <w:adjustRightInd/>
                    <w:snapToGrid/>
                    <w:spacing w:after="0"/>
                    <w:jc w:val="center"/>
                    <w:rPr>
                      <w:rFonts w:hint="eastAsia" w:ascii="宋体" w:hAnsi="宋体" w:cs="宋体"/>
                      <w:sz w:val="18"/>
                      <w:szCs w:val="18"/>
                    </w:rPr>
                  </w:pPr>
                </w:p>
                <w:p>
                  <w:pPr>
                    <w:adjustRightInd/>
                    <w:snapToGrid/>
                    <w:spacing w:after="0"/>
                    <w:jc w:val="center"/>
                    <w:rPr>
                      <w:rFonts w:hint="eastAsia" w:ascii="宋体" w:hAnsi="宋体" w:cs="宋体"/>
                      <w:sz w:val="18"/>
                      <w:szCs w:val="18"/>
                    </w:rPr>
                  </w:pPr>
                </w:p>
                <w:p>
                  <w:pPr>
                    <w:adjustRightInd/>
                    <w:snapToGrid/>
                    <w:spacing w:after="0"/>
                    <w:jc w:val="center"/>
                    <w:rPr>
                      <w:rFonts w:hint="eastAsia"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84" w:type="dxa"/>
                  <w:shd w:val="clear" w:color="000000" w:fill="FFFFFF"/>
                  <w:noWrap w:val="0"/>
                  <w:vAlign w:val="center"/>
                </w:tcPr>
                <w:p>
                  <w:pPr>
                    <w:adjustRightInd/>
                    <w:snapToGrid/>
                    <w:spacing w:after="0"/>
                    <w:rPr>
                      <w:rFonts w:hint="eastAsia" w:ascii="宋体" w:hAnsi="宋体" w:cs="宋体"/>
                      <w:color w:val="333333"/>
                      <w:sz w:val="18"/>
                      <w:szCs w:val="18"/>
                    </w:rPr>
                  </w:pPr>
                </w:p>
              </w:tc>
              <w:tc>
                <w:tcPr>
                  <w:tcW w:w="1167" w:type="dxa"/>
                  <w:shd w:val="clear" w:color="000000" w:fill="FFFFFF"/>
                  <w:noWrap w:val="0"/>
                  <w:vAlign w:val="center"/>
                </w:tcPr>
                <w:p>
                  <w:pPr>
                    <w:jc w:val="center"/>
                    <w:rPr>
                      <w:rFonts w:hint="eastAsia" w:ascii="宋体" w:hAnsi="宋体" w:cs="宋体"/>
                      <w:color w:val="333333"/>
                      <w:sz w:val="18"/>
                      <w:szCs w:val="18"/>
                    </w:rPr>
                  </w:pPr>
                </w:p>
              </w:tc>
              <w:tc>
                <w:tcPr>
                  <w:tcW w:w="1284" w:type="dxa"/>
                  <w:shd w:val="clear" w:color="000000" w:fill="FFFFFF"/>
                  <w:noWrap w:val="0"/>
                  <w:vAlign w:val="center"/>
                </w:tcPr>
                <w:p>
                  <w:pPr>
                    <w:adjustRightInd/>
                    <w:snapToGrid/>
                    <w:spacing w:after="0"/>
                    <w:ind w:firstLine="270" w:firstLineChars="150"/>
                    <w:rPr>
                      <w:rFonts w:hint="eastAsia" w:ascii="宋体" w:hAnsi="宋体" w:cs="宋体"/>
                      <w:color w:val="333333"/>
                      <w:sz w:val="18"/>
                      <w:szCs w:val="18"/>
                    </w:rPr>
                  </w:pPr>
                  <w:r>
                    <w:rPr>
                      <w:rFonts w:hint="eastAsia" w:ascii="宋体" w:hAnsi="宋体" w:cs="宋体"/>
                      <w:color w:val="333333"/>
                      <w:sz w:val="18"/>
                      <w:szCs w:val="18"/>
                    </w:rPr>
                    <w:t>硫酸雾</w:t>
                  </w:r>
                </w:p>
              </w:tc>
              <w:tc>
                <w:tcPr>
                  <w:tcW w:w="3253" w:type="dxa"/>
                  <w:shd w:val="clear" w:color="000000" w:fill="FFFFFF"/>
                  <w:noWrap w:val="0"/>
                  <w:vAlign w:val="center"/>
                </w:tcPr>
                <w:p>
                  <w:pPr>
                    <w:rPr>
                      <w:rFonts w:hint="eastAsia" w:ascii="宋体" w:hAnsi="宋体" w:cs="宋体"/>
                      <w:color w:val="333333"/>
                      <w:sz w:val="18"/>
                      <w:szCs w:val="18"/>
                    </w:rPr>
                  </w:pPr>
                </w:p>
              </w:tc>
              <w:tc>
                <w:tcPr>
                  <w:tcW w:w="1274" w:type="dxa"/>
                  <w:shd w:val="clear" w:color="000000" w:fill="FFFFFF"/>
                  <w:noWrap w:val="0"/>
                  <w:vAlign w:val="center"/>
                </w:tcPr>
                <w:p>
                  <w:pPr>
                    <w:adjustRightInd/>
                    <w:snapToGrid/>
                    <w:spacing w:after="0"/>
                    <w:ind w:firstLine="270" w:firstLineChars="150"/>
                    <w:jc w:val="center"/>
                    <w:rPr>
                      <w:rFonts w:hint="eastAsia" w:ascii="宋体" w:hAnsi="宋体" w:cs="宋体"/>
                      <w:color w:val="333333"/>
                      <w:sz w:val="18"/>
                      <w:szCs w:val="18"/>
                    </w:rPr>
                  </w:pPr>
                  <w:r>
                    <w:rPr>
                      <w:rFonts w:hint="eastAsia" w:ascii="宋体" w:hAnsi="宋体" w:cs="宋体"/>
                      <w:color w:val="333333"/>
                      <w:sz w:val="18"/>
                      <w:szCs w:val="18"/>
                    </w:rPr>
                    <w:t>1.2</w:t>
                  </w:r>
                </w:p>
              </w:tc>
              <w:tc>
                <w:tcPr>
                  <w:tcW w:w="762" w:type="dxa"/>
                  <w:noWrap w:val="0"/>
                  <w:vAlign w:val="top"/>
                </w:tcPr>
                <w:p>
                  <w:pPr>
                    <w:jc w:val="center"/>
                    <w:rPr>
                      <w:rFonts w:hint="eastAsia" w:ascii="宋体" w:hAnsi="宋体" w:cs="宋体"/>
                      <w:sz w:val="18"/>
                      <w:szCs w:val="18"/>
                    </w:rPr>
                  </w:pPr>
                </w:p>
              </w:tc>
              <w:tc>
                <w:tcPr>
                  <w:tcW w:w="1082" w:type="dxa"/>
                  <w:noWrap w:val="0"/>
                  <w:vAlign w:val="center"/>
                </w:tcPr>
                <w:p>
                  <w:pPr>
                    <w:jc w:val="center"/>
                    <w:rPr>
                      <w:rFonts w:hint="eastAsia" w:ascii="宋体" w:hAnsi="宋体" w:cs="宋体"/>
                      <w:sz w:val="18"/>
                      <w:szCs w:val="18"/>
                    </w:rPr>
                  </w:pPr>
                  <w:r>
                    <w:rPr>
                      <w:rFonts w:hint="eastAsia" w:ascii="宋体" w:hAnsi="宋体" w:cs="宋体"/>
                      <w:sz w:val="18"/>
                      <w:szCs w:val="18"/>
                    </w:rPr>
                    <w:t>1次/年</w:t>
                  </w:r>
                </w:p>
              </w:tc>
              <w:tc>
                <w:tcPr>
                  <w:tcW w:w="3497" w:type="dxa"/>
                  <w:noWrap w:val="0"/>
                  <w:vAlign w:val="center"/>
                </w:tcPr>
                <w:p>
                  <w:pPr>
                    <w:adjustRightInd/>
                    <w:snapToGrid/>
                    <w:spacing w:after="0"/>
                    <w:rPr>
                      <w:rFonts w:hint="eastAsia" w:ascii="宋体" w:hAnsi="宋体" w:cs="宋体"/>
                      <w:sz w:val="18"/>
                      <w:szCs w:val="18"/>
                    </w:rPr>
                  </w:pPr>
                  <w:r>
                    <w:rPr>
                      <w:rFonts w:hint="eastAsia" w:ascii="宋体" w:hAnsi="宋体" w:cs="宋体"/>
                      <w:sz w:val="18"/>
                      <w:szCs w:val="18"/>
                    </w:rPr>
                    <w:t>《固定污染源废气 硫酸雾的测定 离子色谱法》</w:t>
                  </w:r>
                  <w:r>
                    <w:rPr>
                      <w:rFonts w:ascii="宋体" w:hAnsi="宋体" w:cs="宋体"/>
                      <w:sz w:val="18"/>
                      <w:szCs w:val="18"/>
                    </w:rPr>
                    <w:t>HJ 544-2016</w:t>
                  </w:r>
                </w:p>
              </w:tc>
              <w:tc>
                <w:tcPr>
                  <w:tcW w:w="1041" w:type="dxa"/>
                  <w:noWrap w:val="0"/>
                  <w:vAlign w:val="top"/>
                </w:tcPr>
                <w:p>
                  <w:pPr>
                    <w:adjustRightInd/>
                    <w:snapToGrid/>
                    <w:spacing w:after="0"/>
                    <w:rPr>
                      <w:rFonts w:hint="eastAsia" w:ascii="宋体" w:hAnsi="宋体" w:cs="宋体"/>
                      <w:sz w:val="18"/>
                      <w:szCs w:val="18"/>
                    </w:rPr>
                  </w:pPr>
                </w:p>
              </w:tc>
              <w:tc>
                <w:tcPr>
                  <w:tcW w:w="849" w:type="dxa"/>
                  <w:noWrap w:val="0"/>
                  <w:vAlign w:val="top"/>
                </w:tcPr>
                <w:p>
                  <w:pPr>
                    <w:adjustRightInd/>
                    <w:snapToGrid/>
                    <w:spacing w:after="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784" w:type="dxa"/>
                  <w:shd w:val="clear" w:color="000000" w:fill="FFFFFF"/>
                  <w:noWrap w:val="0"/>
                  <w:vAlign w:val="center"/>
                </w:tcPr>
                <w:p>
                  <w:pPr>
                    <w:adjustRightInd/>
                    <w:snapToGrid/>
                    <w:spacing w:after="0"/>
                    <w:rPr>
                      <w:rFonts w:hint="eastAsia" w:ascii="宋体" w:hAnsi="宋体" w:cs="宋体"/>
                      <w:b/>
                      <w:color w:val="333333"/>
                      <w:sz w:val="18"/>
                      <w:szCs w:val="18"/>
                    </w:rPr>
                  </w:pPr>
                </w:p>
                <w:p>
                  <w:pPr>
                    <w:adjustRightInd/>
                    <w:snapToGrid/>
                    <w:spacing w:after="0"/>
                    <w:rPr>
                      <w:rFonts w:hint="eastAsia" w:ascii="宋体" w:hAnsi="宋体" w:cs="宋体"/>
                      <w:b/>
                      <w:color w:val="333333"/>
                      <w:sz w:val="18"/>
                      <w:szCs w:val="18"/>
                    </w:rPr>
                  </w:pPr>
                  <w:r>
                    <w:rPr>
                      <w:rFonts w:hint="eastAsia" w:ascii="宋体" w:hAnsi="宋体" w:cs="宋体"/>
                      <w:b/>
                      <w:color w:val="333333"/>
                      <w:sz w:val="18"/>
                      <w:szCs w:val="18"/>
                    </w:rPr>
                    <w:t>噪声</w:t>
                  </w:r>
                </w:p>
              </w:tc>
              <w:tc>
                <w:tcPr>
                  <w:tcW w:w="1167" w:type="dxa"/>
                  <w:shd w:val="clear" w:color="000000" w:fill="FFFFFF"/>
                  <w:noWrap w:val="0"/>
                  <w:vAlign w:val="center"/>
                </w:tcPr>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厂界四周</w:t>
                  </w:r>
                </w:p>
              </w:tc>
              <w:tc>
                <w:tcPr>
                  <w:tcW w:w="1284" w:type="dxa"/>
                  <w:shd w:val="clear" w:color="000000" w:fill="FFFFFF"/>
                  <w:noWrap w:val="0"/>
                  <w:vAlign w:val="center"/>
                </w:tcPr>
                <w:p>
                  <w:pPr>
                    <w:adjustRightInd/>
                    <w:snapToGrid/>
                    <w:spacing w:after="0"/>
                    <w:rPr>
                      <w:rFonts w:hint="eastAsia" w:ascii="宋体" w:hAnsi="宋体" w:cs="宋体"/>
                      <w:color w:val="333333"/>
                      <w:sz w:val="18"/>
                      <w:szCs w:val="18"/>
                    </w:rPr>
                  </w:pPr>
                  <w:r>
                    <w:rPr>
                      <w:rFonts w:hint="eastAsia" w:ascii="宋体" w:hAnsi="宋体" w:cs="宋体"/>
                      <w:color w:val="333333"/>
                      <w:sz w:val="18"/>
                      <w:szCs w:val="18"/>
                    </w:rPr>
                    <w:t>昼间噪声(厂界)</w:t>
                  </w:r>
                </w:p>
              </w:tc>
              <w:tc>
                <w:tcPr>
                  <w:tcW w:w="3253" w:type="dxa"/>
                  <w:shd w:val="clear" w:color="000000" w:fill="FFFFFF"/>
                  <w:noWrap w:val="0"/>
                  <w:vAlign w:val="center"/>
                </w:tcPr>
                <w:p>
                  <w:pPr>
                    <w:adjustRightInd/>
                    <w:snapToGrid/>
                    <w:spacing w:after="0"/>
                    <w:rPr>
                      <w:rFonts w:hint="eastAsia" w:ascii="宋体" w:hAnsi="宋体" w:cs="宋体"/>
                      <w:color w:val="333333"/>
                      <w:sz w:val="18"/>
                      <w:szCs w:val="18"/>
                    </w:rPr>
                  </w:pPr>
                  <w:r>
                    <w:rPr>
                      <w:rFonts w:hint="eastAsia" w:ascii="宋体" w:hAnsi="宋体" w:cs="宋体"/>
                      <w:color w:val="333333"/>
                      <w:sz w:val="18"/>
                      <w:szCs w:val="18"/>
                    </w:rPr>
                    <w:t>《工业企业厂界环境噪声排放标准》(GB12348-2008)3类</w:t>
                  </w:r>
                </w:p>
              </w:tc>
              <w:tc>
                <w:tcPr>
                  <w:tcW w:w="1274" w:type="dxa"/>
                  <w:shd w:val="clear" w:color="000000" w:fill="FFFFFF"/>
                  <w:noWrap w:val="0"/>
                  <w:vAlign w:val="center"/>
                </w:tcPr>
                <w:p>
                  <w:pPr>
                    <w:pStyle w:val="16"/>
                    <w:jc w:val="center"/>
                    <w:rPr>
                      <w:rFonts w:hint="eastAsia" w:ascii="宋体" w:hAnsi="宋体" w:eastAsia="宋体" w:cs="宋体"/>
                      <w:color w:val="333333"/>
                      <w:sz w:val="18"/>
                      <w:szCs w:val="18"/>
                    </w:rPr>
                  </w:pPr>
                </w:p>
                <w:p>
                  <w:pPr>
                    <w:pStyle w:val="16"/>
                    <w:jc w:val="center"/>
                    <w:rPr>
                      <w:rFonts w:hint="eastAsia" w:ascii="宋体" w:hAnsi="宋体" w:eastAsia="宋体" w:cs="宋体"/>
                      <w:sz w:val="18"/>
                      <w:szCs w:val="18"/>
                    </w:rPr>
                  </w:pPr>
                  <w:r>
                    <w:rPr>
                      <w:rFonts w:hint="eastAsia" w:ascii="宋体" w:hAnsi="宋体" w:eastAsia="宋体" w:cs="宋体"/>
                      <w:color w:val="333333"/>
                      <w:sz w:val="18"/>
                      <w:szCs w:val="18"/>
                    </w:rPr>
                    <w:t xml:space="preserve">日间65dB(A) </w:t>
                  </w:r>
                </w:p>
                <w:p>
                  <w:pPr>
                    <w:adjustRightInd/>
                    <w:snapToGrid/>
                    <w:spacing w:after="0"/>
                    <w:jc w:val="center"/>
                    <w:rPr>
                      <w:rFonts w:hint="eastAsia" w:ascii="宋体" w:hAnsi="宋体" w:cs="宋体"/>
                      <w:color w:val="333333"/>
                      <w:sz w:val="18"/>
                      <w:szCs w:val="18"/>
                    </w:rPr>
                  </w:pPr>
                  <w:r>
                    <w:rPr>
                      <w:rFonts w:hint="eastAsia" w:ascii="宋体" w:hAnsi="宋体" w:cs="宋体"/>
                      <w:color w:val="333333"/>
                      <w:sz w:val="18"/>
                      <w:szCs w:val="18"/>
                    </w:rPr>
                    <w:t>夜间55db(A)</w:t>
                  </w:r>
                </w:p>
              </w:tc>
              <w:tc>
                <w:tcPr>
                  <w:tcW w:w="762" w:type="dxa"/>
                  <w:noWrap w:val="0"/>
                  <w:vAlign w:val="center"/>
                </w:tcPr>
                <w:p>
                  <w:pPr>
                    <w:adjustRightInd/>
                    <w:snapToGrid/>
                    <w:spacing w:after="0"/>
                    <w:jc w:val="center"/>
                    <w:rPr>
                      <w:rFonts w:hint="eastAsia" w:ascii="宋体" w:hAnsi="宋体" w:cs="宋体"/>
                      <w:sz w:val="18"/>
                      <w:szCs w:val="18"/>
                    </w:rPr>
                  </w:pPr>
                </w:p>
                <w:p>
                  <w:pPr>
                    <w:adjustRightInd/>
                    <w:snapToGrid/>
                    <w:spacing w:after="0"/>
                    <w:jc w:val="center"/>
                    <w:rPr>
                      <w:rFonts w:hint="eastAsia" w:ascii="宋体" w:hAnsi="宋体" w:cs="宋体"/>
                      <w:sz w:val="18"/>
                      <w:szCs w:val="18"/>
                    </w:rPr>
                  </w:pPr>
                  <w:r>
                    <w:rPr>
                      <w:rFonts w:hint="eastAsia" w:ascii="宋体" w:hAnsi="宋体" w:cs="宋体"/>
                      <w:sz w:val="18"/>
                      <w:szCs w:val="18"/>
                    </w:rPr>
                    <w:t>手工</w:t>
                  </w:r>
                </w:p>
              </w:tc>
              <w:tc>
                <w:tcPr>
                  <w:tcW w:w="1082" w:type="dxa"/>
                  <w:noWrap w:val="0"/>
                  <w:vAlign w:val="center"/>
                </w:tcPr>
                <w:p>
                  <w:pPr>
                    <w:pStyle w:val="16"/>
                    <w:jc w:val="center"/>
                    <w:rPr>
                      <w:rFonts w:hint="eastAsia" w:ascii="宋体" w:hAnsi="宋体" w:eastAsia="宋体" w:cs="宋体"/>
                      <w:sz w:val="18"/>
                      <w:szCs w:val="18"/>
                    </w:rPr>
                  </w:pPr>
                  <w:r>
                    <w:rPr>
                      <w:rFonts w:hint="eastAsia" w:ascii="宋体" w:hAnsi="宋体" w:eastAsia="宋体" w:cs="宋体"/>
                      <w:sz w:val="18"/>
                      <w:szCs w:val="18"/>
                    </w:rPr>
                    <w:t>1次/季度</w:t>
                  </w:r>
                </w:p>
                <w:p>
                  <w:pPr>
                    <w:pStyle w:val="16"/>
                    <w:jc w:val="center"/>
                    <w:rPr>
                      <w:rFonts w:hint="eastAsia" w:ascii="宋体" w:hAnsi="宋体" w:eastAsia="宋体" w:cs="宋体"/>
                      <w:sz w:val="18"/>
                      <w:szCs w:val="18"/>
                    </w:rPr>
                  </w:pPr>
                  <w:r>
                    <w:rPr>
                      <w:rFonts w:hint="eastAsia" w:ascii="宋体" w:hAnsi="宋体" w:eastAsia="宋体" w:cs="宋体"/>
                      <w:sz w:val="18"/>
                      <w:szCs w:val="18"/>
                    </w:rPr>
                    <w:t>(昼间、夜间各一次)</w:t>
                  </w:r>
                </w:p>
                <w:p>
                  <w:pPr>
                    <w:spacing w:after="0"/>
                    <w:jc w:val="center"/>
                    <w:rPr>
                      <w:rFonts w:hint="eastAsia" w:ascii="宋体" w:hAnsi="宋体" w:cs="宋体"/>
                      <w:sz w:val="18"/>
                      <w:szCs w:val="18"/>
                    </w:rPr>
                  </w:pPr>
                </w:p>
              </w:tc>
              <w:tc>
                <w:tcPr>
                  <w:tcW w:w="3497" w:type="dxa"/>
                  <w:noWrap w:val="0"/>
                  <w:vAlign w:val="center"/>
                </w:tcPr>
                <w:p>
                  <w:pPr>
                    <w:pStyle w:val="16"/>
                    <w:ind w:left="540" w:hanging="540" w:hangingChars="300"/>
                    <w:rPr>
                      <w:rFonts w:hint="eastAsia" w:ascii="宋体" w:hAnsi="宋体" w:eastAsia="宋体" w:cs="宋体"/>
                      <w:sz w:val="18"/>
                      <w:szCs w:val="18"/>
                    </w:rPr>
                  </w:pPr>
                  <w:r>
                    <w:rPr>
                      <w:rFonts w:hint="eastAsia" w:ascii="宋体" w:hAnsi="宋体" w:eastAsia="宋体" w:cs="宋体"/>
                      <w:sz w:val="18"/>
                      <w:szCs w:val="18"/>
                    </w:rPr>
                    <w:t xml:space="preserve">《工业企业厂界环境噪声排放标准》GB12348-2008 </w:t>
                  </w:r>
                </w:p>
                <w:p>
                  <w:pPr>
                    <w:pStyle w:val="16"/>
                    <w:ind w:firstLine="900" w:firstLineChars="500"/>
                    <w:rPr>
                      <w:rFonts w:hint="eastAsia" w:ascii="宋体" w:hAnsi="宋体" w:eastAsia="宋体" w:cs="宋体"/>
                      <w:sz w:val="18"/>
                      <w:szCs w:val="18"/>
                    </w:rPr>
                  </w:pPr>
                </w:p>
              </w:tc>
              <w:tc>
                <w:tcPr>
                  <w:tcW w:w="1041"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c>
                <w:tcPr>
                  <w:tcW w:w="849" w:type="dxa"/>
                  <w:noWrap w:val="0"/>
                  <w:vAlign w:val="center"/>
                </w:tcPr>
                <w:p>
                  <w:pPr>
                    <w:adjustRightInd/>
                    <w:snapToGrid/>
                    <w:spacing w:after="0"/>
                    <w:jc w:val="center"/>
                    <w:rPr>
                      <w:rFonts w:hint="eastAsia" w:ascii="宋体" w:hAnsi="宋体" w:cs="宋体"/>
                      <w:sz w:val="18"/>
                      <w:szCs w:val="18"/>
                    </w:rPr>
                  </w:pPr>
                  <w:r>
                    <w:rPr>
                      <w:rFonts w:hint="eastAsia" w:ascii="宋体" w:hAnsi="宋体" w:cs="宋体"/>
                      <w:sz w:val="18"/>
                      <w:szCs w:val="18"/>
                    </w:rPr>
                    <w:t>/</w:t>
                  </w:r>
                </w:p>
              </w:tc>
            </w:tr>
          </w:tbl>
          <w:p>
            <w:pPr>
              <w:spacing w:line="360" w:lineRule="auto"/>
              <w:rPr>
                <w:rFonts w:hint="eastAsia" w:ascii="宋体" w:hAnsi="宋体" w:cs="宋体"/>
                <w:b/>
                <w:sz w:val="24"/>
              </w:rPr>
            </w:pPr>
            <w:r>
              <w:rPr>
                <w:rFonts w:hint="eastAsia" w:ascii="宋体" w:hAnsi="宋体" w:cs="宋体"/>
                <w:b/>
                <w:sz w:val="24"/>
              </w:rPr>
              <w:t>3.4监测点位图</w:t>
            </w:r>
          </w:p>
          <w:p>
            <w:pPr>
              <w:spacing w:line="360" w:lineRule="auto"/>
              <w:rPr>
                <w:rFonts w:hint="eastAsia" w:ascii="宋体" w:hAnsi="宋体" w:cs="宋体"/>
                <w:b/>
                <w:sz w:val="24"/>
              </w:rPr>
            </w:pPr>
          </w:p>
          <w:p>
            <w:pPr>
              <w:spacing w:line="276" w:lineRule="auto"/>
              <w:rPr>
                <w:rFonts w:hint="eastAsia" w:ascii="宋体" w:hAnsi="宋体" w:eastAsia="宋体" w:cs="宋体"/>
                <w:b/>
                <w:sz w:val="24"/>
                <w:lang w:eastAsia="zh-CN"/>
              </w:rPr>
            </w:pPr>
            <w:r>
              <w:rPr>
                <w:rFonts w:hint="eastAsia" w:ascii="宋体" w:hAnsi="宋体" w:eastAsia="宋体" w:cs="宋体"/>
                <w:b/>
                <w:sz w:val="24"/>
                <w:lang w:eastAsia="zh-CN"/>
              </w:rPr>
              <w:drawing>
                <wp:inline distT="0" distB="0" distL="114300" distR="114300">
                  <wp:extent cx="5989320" cy="5064125"/>
                  <wp:effectExtent l="0" t="0" r="11430" b="3175"/>
                  <wp:docPr id="1" name="图片 1" descr="高碑店市京泽压铸厂监测点位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高碑店市京泽压铸厂监测点位示意图"/>
                          <pic:cNvPicPr>
                            <a:picLocks noChangeAspect="1"/>
                          </pic:cNvPicPr>
                        </pic:nvPicPr>
                        <pic:blipFill>
                          <a:blip r:embed="rId10"/>
                          <a:stretch>
                            <a:fillRect/>
                          </a:stretch>
                        </pic:blipFill>
                        <pic:spPr>
                          <a:xfrm>
                            <a:off x="0" y="0"/>
                            <a:ext cx="5989320" cy="5064125"/>
                          </a:xfrm>
                          <a:prstGeom prst="rect">
                            <a:avLst/>
                          </a:prstGeom>
                          <a:noFill/>
                          <a:ln>
                            <a:noFill/>
                          </a:ln>
                        </pic:spPr>
                      </pic:pic>
                    </a:graphicData>
                  </a:graphic>
                </wp:inline>
              </w:drawing>
            </w:r>
          </w:p>
          <w:p>
            <w:pPr>
              <w:spacing w:line="276" w:lineRule="auto"/>
              <w:rPr>
                <w:rFonts w:hint="eastAsia" w:ascii="宋体" w:hAnsi="宋体" w:cs="宋体"/>
                <w:b/>
                <w:sz w:val="24"/>
              </w:rPr>
            </w:pPr>
            <w:r>
              <w:rPr>
                <w:rFonts w:hint="eastAsia" w:ascii="宋体" w:hAnsi="宋体" w:cs="宋体"/>
                <w:b/>
                <w:sz w:val="24"/>
              </w:rPr>
              <w:t>4.监测质量保证和质量控制要求</w:t>
            </w:r>
          </w:p>
          <w:p>
            <w:pPr>
              <w:spacing w:line="276" w:lineRule="auto"/>
              <w:rPr>
                <w:rFonts w:hint="eastAsia" w:ascii="宋体" w:hAnsi="宋体" w:cs="宋体"/>
                <w:spacing w:val="18"/>
                <w:sz w:val="24"/>
                <w:szCs w:val="24"/>
              </w:rPr>
            </w:pPr>
            <w:r>
              <w:rPr>
                <w:rFonts w:hint="eastAsia" w:ascii="宋体" w:hAnsi="宋体" w:cs="宋体"/>
                <w:spacing w:val="18"/>
                <w:sz w:val="24"/>
                <w:szCs w:val="24"/>
              </w:rPr>
              <w:t>4.1公司所有监测项目均委托有资质的第三方检测机构进行检测。</w:t>
            </w:r>
          </w:p>
          <w:p>
            <w:pPr>
              <w:spacing w:line="276" w:lineRule="auto"/>
              <w:rPr>
                <w:rFonts w:hint="eastAsia" w:ascii="宋体" w:hAnsi="宋体" w:cs="宋体"/>
                <w:spacing w:val="18"/>
                <w:sz w:val="24"/>
                <w:szCs w:val="24"/>
              </w:rPr>
            </w:pPr>
            <w:r>
              <w:rPr>
                <w:rFonts w:hint="eastAsia" w:ascii="宋体" w:hAnsi="宋体" w:cs="宋体"/>
                <w:spacing w:val="18"/>
                <w:sz w:val="24"/>
                <w:szCs w:val="24"/>
              </w:rPr>
              <w:t>4.2按照《排污许可证申请与核发技术规范 电镀工业》（HJ855-2017）、《排污单位自行监测技术指南  总则》（HJ819-2017）、《排污许可管理办法（试行）》（环境保护部令第48号）等要求制定年度自行监测方案。</w:t>
            </w:r>
          </w:p>
          <w:p>
            <w:pPr>
              <w:spacing w:line="276" w:lineRule="auto"/>
              <w:rPr>
                <w:rFonts w:hint="eastAsia" w:ascii="宋体" w:hAnsi="宋体" w:cs="宋体"/>
                <w:spacing w:val="18"/>
                <w:sz w:val="24"/>
                <w:szCs w:val="24"/>
              </w:rPr>
            </w:pPr>
            <w:r>
              <w:rPr>
                <w:rFonts w:hint="eastAsia" w:ascii="宋体" w:hAnsi="宋体" w:cs="宋体"/>
                <w:spacing w:val="18"/>
                <w:sz w:val="24"/>
                <w:szCs w:val="24"/>
              </w:rPr>
              <w:t>4.3定期审验第三方检测资质并存档。</w:t>
            </w:r>
          </w:p>
          <w:p>
            <w:pPr>
              <w:spacing w:line="276" w:lineRule="auto"/>
              <w:rPr>
                <w:rFonts w:hint="eastAsia" w:ascii="宋体" w:hAnsi="宋体" w:cs="宋体"/>
                <w:spacing w:val="18"/>
                <w:sz w:val="24"/>
                <w:szCs w:val="24"/>
              </w:rPr>
            </w:pPr>
            <w:r>
              <w:rPr>
                <w:rFonts w:hint="eastAsia" w:ascii="宋体" w:hAnsi="宋体" w:cs="宋体"/>
                <w:spacing w:val="18"/>
                <w:sz w:val="24"/>
                <w:szCs w:val="24"/>
              </w:rPr>
              <w:t>4.4将监测结果与标准值（许可排放浓度限值）对照，判定是否达标排放。</w:t>
            </w:r>
          </w:p>
          <w:p>
            <w:pPr>
              <w:spacing w:line="276" w:lineRule="auto"/>
              <w:rPr>
                <w:rFonts w:hint="eastAsia" w:ascii="宋体" w:hAnsi="宋体" w:cs="宋体"/>
                <w:spacing w:val="18"/>
                <w:sz w:val="24"/>
                <w:szCs w:val="24"/>
              </w:rPr>
            </w:pPr>
            <w:r>
              <w:rPr>
                <w:rFonts w:hint="eastAsia" w:ascii="宋体" w:hAnsi="宋体" w:cs="宋体"/>
                <w:spacing w:val="18"/>
                <w:sz w:val="24"/>
                <w:szCs w:val="24"/>
              </w:rPr>
              <w:t>4.5将各种相关资料存留存档。</w:t>
            </w:r>
          </w:p>
          <w:p>
            <w:pPr>
              <w:spacing w:line="276" w:lineRule="auto"/>
              <w:rPr>
                <w:rFonts w:hint="eastAsia" w:ascii="宋体" w:hAnsi="宋体" w:cs="宋体"/>
                <w:b/>
                <w:sz w:val="24"/>
              </w:rPr>
            </w:pPr>
            <w:r>
              <w:rPr>
                <w:rFonts w:hint="eastAsia" w:ascii="宋体" w:hAnsi="宋体" w:cs="宋体"/>
                <w:b/>
                <w:sz w:val="24"/>
              </w:rPr>
              <w:t>5.监测数据记录、整理、存档</w:t>
            </w:r>
          </w:p>
          <w:p>
            <w:pPr>
              <w:spacing w:line="276" w:lineRule="auto"/>
              <w:rPr>
                <w:rFonts w:hint="eastAsia" w:ascii="宋体" w:hAnsi="宋体" w:cs="宋体"/>
                <w:spacing w:val="18"/>
                <w:sz w:val="24"/>
                <w:szCs w:val="24"/>
              </w:rPr>
            </w:pPr>
            <w:r>
              <w:rPr>
                <w:rFonts w:hint="eastAsia" w:ascii="宋体" w:hAnsi="宋体" w:cs="宋体"/>
                <w:spacing w:val="18"/>
                <w:sz w:val="24"/>
                <w:szCs w:val="24"/>
              </w:rPr>
              <w:t xml:space="preserve">   企业按要求建立完整的监测档案管理制度，保存原始监测记录和监测数据报告，保存监测期间生产记录、企业委托第三方监测委托合同、承担委托任务单位的资质和单位基本情况等资料，记录形式为：电子台账+纸质台账：保存时间不低于3年。</w:t>
            </w:r>
          </w:p>
          <w:p>
            <w:pPr>
              <w:spacing w:line="360" w:lineRule="auto"/>
              <w:rPr>
                <w:rFonts w:hint="eastAsia" w:ascii="宋体" w:hAnsi="宋体" w:cs="宋体"/>
                <w:b/>
                <w:sz w:val="24"/>
              </w:rPr>
            </w:pPr>
            <w:r>
              <w:rPr>
                <w:rFonts w:hint="eastAsia" w:ascii="宋体" w:hAnsi="宋体" w:cs="宋体"/>
                <w:b/>
                <w:sz w:val="24"/>
              </w:rPr>
              <w:t>6 .信息公开</w:t>
            </w:r>
          </w:p>
          <w:p>
            <w:pPr>
              <w:spacing w:line="360" w:lineRule="auto"/>
              <w:ind w:firstLine="527" w:firstLineChars="191"/>
              <w:rPr>
                <w:rFonts w:hint="eastAsia" w:ascii="宋体" w:hAnsi="宋体" w:cs="宋体"/>
                <w:b/>
                <w:sz w:val="24"/>
              </w:rPr>
            </w:pPr>
            <w:r>
              <w:rPr>
                <w:rFonts w:hint="eastAsia" w:ascii="宋体" w:hAnsi="宋体" w:cs="宋体"/>
                <w:spacing w:val="18"/>
                <w:sz w:val="24"/>
                <w:szCs w:val="24"/>
              </w:rPr>
              <w:t>我公司自行监测信息公开内容及方式按照《企业事业单位环境信息公开办法》（环境保护部令第31 号）及《国家重点监控企业自行监测及信息公开办法（试行）》（环发〔2013〕81 号）执行。在相关网站以及其他便于公众及时、准确获得信息的方式上公开需要公开的内容，包括企业基本信息、自行监测方案、自行监测结果、未开展自行监测原因、污染源监测年度报告以及其他应当依法公开的环境信息。</w:t>
            </w:r>
          </w:p>
          <w:p>
            <w:pPr>
              <w:keepNext w:val="0"/>
              <w:keepLines w:val="0"/>
              <w:widowControl/>
              <w:numPr>
                <w:ilvl w:val="0"/>
                <w:numId w:val="0"/>
              </w:numPr>
              <w:suppressLineNumbers w:val="0"/>
              <w:spacing w:before="100" w:beforeAutospacing="1" w:after="100" w:afterAutospacing="1" w:line="500" w:lineRule="exact"/>
              <w:ind w:leftChars="225" w:right="0" w:rightChars="0" w:firstLine="420" w:firstLineChars="200"/>
              <w:jc w:val="left"/>
              <w:outlineLvl w:val="0"/>
              <w:rPr>
                <w:rFonts w:ascii="仿宋_GB2312" w:eastAsia="仿宋_GB2312"/>
                <w:szCs w:val="28"/>
              </w:rPr>
            </w:pPr>
          </w:p>
        </w:tc>
      </w:tr>
    </w:tbl>
    <w:p>
      <w:pPr>
        <w:spacing w:line="560" w:lineRule="exact"/>
        <w:rPr>
          <w:rFonts w:hint="eastAsia" w:eastAsia="黑体"/>
          <w:sz w:val="32"/>
          <w:szCs w:val="32"/>
        </w:rPr>
      </w:pPr>
    </w:p>
    <w:p>
      <w:pPr>
        <w:spacing w:line="560" w:lineRule="exact"/>
        <w:rPr>
          <w:rFonts w:hint="eastAsia" w:eastAsia="黑体"/>
          <w:sz w:val="32"/>
          <w:szCs w:val="32"/>
        </w:rPr>
      </w:pPr>
    </w:p>
    <w:p>
      <w:pPr>
        <w:spacing w:line="560" w:lineRule="exact"/>
        <w:rPr>
          <w:rFonts w:hint="eastAsia" w:eastAsia="黑体"/>
          <w:sz w:val="32"/>
          <w:szCs w:val="32"/>
        </w:rPr>
      </w:pPr>
    </w:p>
    <w:p>
      <w:pPr>
        <w:spacing w:line="560" w:lineRule="exact"/>
        <w:rPr>
          <w:rFonts w:hint="eastAsia" w:eastAsia="黑体"/>
          <w:sz w:val="32"/>
          <w:szCs w:val="32"/>
        </w:rPr>
      </w:pPr>
    </w:p>
    <w:p>
      <w:pPr>
        <w:spacing w:line="560" w:lineRule="exact"/>
        <w:rPr>
          <w:rFonts w:hint="eastAsia" w:eastAsia="黑体"/>
          <w:sz w:val="32"/>
          <w:szCs w:val="32"/>
        </w:rPr>
      </w:pPr>
    </w:p>
    <w:p>
      <w:pPr>
        <w:spacing w:line="560" w:lineRule="exact"/>
        <w:rPr>
          <w:rFonts w:hint="eastAsia" w:eastAsia="黑体"/>
          <w:sz w:val="32"/>
          <w:szCs w:val="32"/>
        </w:rPr>
      </w:pPr>
    </w:p>
    <w:p>
      <w:pPr>
        <w:spacing w:line="560" w:lineRule="exact"/>
      </w:pPr>
      <w:r>
        <w:rPr>
          <w:rFonts w:hint="eastAsia" w:eastAsia="黑体"/>
          <w:sz w:val="32"/>
          <w:szCs w:val="32"/>
        </w:rPr>
        <w:t>七、对职工进行的环境保护培训状况</w:t>
      </w:r>
    </w:p>
    <w:p>
      <w:pPr>
        <w:widowControl/>
        <w:jc w:val="left"/>
      </w:pPr>
    </w:p>
    <w:tbl>
      <w:tblPr>
        <w:tblStyle w:val="13"/>
        <w:tblW w:w="12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5" w:hRule="atLeast"/>
          <w:jc w:val="center"/>
        </w:trPr>
        <w:tc>
          <w:tcPr>
            <w:tcW w:w="1315" w:type="dxa"/>
            <w:noWrap w:val="0"/>
            <w:vAlign w:val="center"/>
          </w:tcPr>
          <w:p>
            <w:pPr>
              <w:spacing w:line="560" w:lineRule="exact"/>
              <w:jc w:val="center"/>
              <w:rPr>
                <w:rFonts w:eastAsia="仿宋_GB2312"/>
                <w:b/>
                <w:sz w:val="28"/>
                <w:szCs w:val="28"/>
              </w:rPr>
            </w:pPr>
            <w:r>
              <w:rPr>
                <w:rFonts w:hint="eastAsia" w:eastAsia="仿宋_GB2312"/>
                <w:b/>
                <w:sz w:val="28"/>
                <w:szCs w:val="28"/>
              </w:rPr>
              <w:t>对职工进行的环境保护培训状况</w:t>
            </w:r>
          </w:p>
        </w:tc>
        <w:tc>
          <w:tcPr>
            <w:tcW w:w="11624" w:type="dxa"/>
            <w:noWrap w:val="0"/>
            <w:vAlign w:val="center"/>
          </w:tcPr>
          <w:p>
            <w:pPr>
              <w:keepNext w:val="0"/>
              <w:keepLines w:val="0"/>
              <w:widowControl/>
              <w:numPr>
                <w:ilvl w:val="0"/>
                <w:numId w:val="0"/>
              </w:numPr>
              <w:suppressLineNumbers w:val="0"/>
              <w:spacing w:before="100" w:beforeAutospacing="1" w:after="100" w:afterAutospacing="1" w:line="500" w:lineRule="exact"/>
              <w:ind w:right="0" w:rightChars="0" w:firstLine="1280" w:firstLineChars="400"/>
              <w:jc w:val="left"/>
              <w:outlineLvl w:val="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公司每年对员工进行培训:</w:t>
            </w:r>
          </w:p>
          <w:p>
            <w:pPr>
              <w:keepNext w:val="0"/>
              <w:keepLines w:val="0"/>
              <w:widowControl/>
              <w:numPr>
                <w:ilvl w:val="0"/>
                <w:numId w:val="0"/>
              </w:numPr>
              <w:suppressLineNumbers w:val="0"/>
              <w:spacing w:before="100" w:beforeAutospacing="1" w:after="100" w:afterAutospacing="1" w:line="500" w:lineRule="exact"/>
              <w:ind w:leftChars="225" w:right="0" w:rightChars="0" w:firstLine="640" w:firstLineChars="200"/>
              <w:jc w:val="left"/>
              <w:outlineLvl w:val="0"/>
              <w:rPr>
                <w:rFonts w:hint="eastAsia" w:ascii="仿宋" w:hAnsi="仿宋" w:eastAsia="仿宋" w:cs="仿宋"/>
                <w:sz w:val="32"/>
                <w:szCs w:val="32"/>
              </w:rPr>
            </w:pPr>
            <w:r>
              <w:rPr>
                <w:rFonts w:hint="eastAsia" w:ascii="仿宋" w:hAnsi="仿宋" w:eastAsia="仿宋" w:cs="仿宋"/>
                <w:kern w:val="0"/>
                <w:sz w:val="32"/>
                <w:szCs w:val="32"/>
                <w:lang w:val="en-US" w:eastAsia="zh-CN" w:bidi="ar"/>
              </w:rPr>
              <w:t>主要培训所负责岗位的工艺、操作、救援注意事项等内容。加强职工经常性的应急救援常识教育，使职工了解本公司应急救援预案的内容和执行程序，熟悉危险化学品的性质和应急救援演练的全过程，学习和掌握泄漏、环境污染等各级事故发生时应采取的正确方法和应急措施。讲明应急过程中的信号发布，让员工对各种应急信号都清楚明白。</w:t>
            </w:r>
          </w:p>
          <w:p>
            <w:pPr>
              <w:keepNext w:val="0"/>
              <w:keepLines w:val="0"/>
              <w:widowControl/>
              <w:suppressLineNumbers w:val="0"/>
              <w:spacing w:before="100" w:beforeAutospacing="1" w:after="100" w:afterAutospacing="1" w:line="560" w:lineRule="exact"/>
              <w:ind w:left="0" w:right="0"/>
              <w:jc w:val="center"/>
              <w:rPr>
                <w:rFonts w:eastAsia="仿宋_GB2312"/>
                <w:sz w:val="28"/>
                <w:szCs w:val="28"/>
              </w:rPr>
            </w:pPr>
          </w:p>
          <w:p>
            <w:pPr>
              <w:spacing w:line="560" w:lineRule="exact"/>
              <w:jc w:val="center"/>
              <w:rPr>
                <w:rFonts w:eastAsia="仿宋_GB2312"/>
                <w:sz w:val="28"/>
                <w:szCs w:val="28"/>
              </w:rPr>
            </w:pPr>
          </w:p>
        </w:tc>
      </w:tr>
    </w:tbl>
    <w:p>
      <w:pPr>
        <w:numPr>
          <w:ilvl w:val="0"/>
          <w:numId w:val="2"/>
        </w:numPr>
        <w:spacing w:line="560" w:lineRule="exact"/>
        <w:rPr>
          <w:rFonts w:hint="eastAsia" w:eastAsia="黑体"/>
          <w:sz w:val="32"/>
          <w:szCs w:val="32"/>
        </w:rPr>
      </w:pPr>
      <w:r>
        <w:rPr>
          <w:rFonts w:hint="eastAsia" w:eastAsia="黑体"/>
          <w:sz w:val="32"/>
          <w:szCs w:val="32"/>
        </w:rPr>
        <w:t>其他应当公开的环境信息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0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1240" w:type="dxa"/>
            <w:noWrap w:val="0"/>
            <w:vAlign w:val="center"/>
          </w:tcPr>
          <w:p>
            <w:pPr>
              <w:spacing w:line="560" w:lineRule="exact"/>
              <w:jc w:val="center"/>
              <w:rPr>
                <w:rFonts w:eastAsia="仿宋_GB2312"/>
                <w:b/>
                <w:sz w:val="28"/>
                <w:szCs w:val="28"/>
              </w:rPr>
            </w:pPr>
            <w:r>
              <w:rPr>
                <w:rFonts w:hint="eastAsia" w:eastAsia="仿宋_GB2312"/>
                <w:b/>
                <w:sz w:val="28"/>
                <w:szCs w:val="28"/>
              </w:rPr>
              <w:t>其他应当公开的环境信息</w:t>
            </w:r>
          </w:p>
        </w:tc>
        <w:tc>
          <w:tcPr>
            <w:tcW w:w="10959" w:type="dxa"/>
            <w:noWrap w:val="0"/>
            <w:vAlign w:val="center"/>
          </w:tcPr>
          <w:p>
            <w:pPr>
              <w:spacing w:line="560" w:lineRule="exact"/>
              <w:ind w:firstLine="4480" w:firstLineChars="1600"/>
              <w:jc w:val="center"/>
              <w:rPr>
                <w:rFonts w:hint="eastAsia" w:eastAsia="仿宋_GB2312"/>
                <w:sz w:val="28"/>
                <w:szCs w:val="28"/>
                <w:lang w:val="en-US" w:eastAsia="zh-CN"/>
              </w:rPr>
            </w:pPr>
          </w:p>
          <w:p>
            <w:pPr>
              <w:spacing w:line="560" w:lineRule="exact"/>
              <w:ind w:firstLine="4480" w:firstLineChars="1600"/>
              <w:jc w:val="center"/>
              <w:rPr>
                <w:rFonts w:hint="eastAsia" w:eastAsia="仿宋_GB2312"/>
                <w:sz w:val="28"/>
                <w:szCs w:val="28"/>
                <w:lang w:val="en-US" w:eastAsia="zh-CN"/>
              </w:rPr>
            </w:pPr>
          </w:p>
          <w:p>
            <w:pPr>
              <w:spacing w:line="560" w:lineRule="exact"/>
              <w:ind w:firstLine="4480" w:firstLineChars="1600"/>
              <w:jc w:val="center"/>
              <w:rPr>
                <w:rFonts w:hint="eastAsia" w:eastAsia="仿宋_GB2312"/>
                <w:sz w:val="28"/>
                <w:szCs w:val="28"/>
                <w:lang w:val="en-US" w:eastAsia="zh-CN"/>
              </w:rPr>
            </w:pPr>
          </w:p>
          <w:p>
            <w:pPr>
              <w:spacing w:line="560" w:lineRule="exact"/>
              <w:ind w:firstLine="4480" w:firstLineChars="1600"/>
              <w:jc w:val="center"/>
              <w:rPr>
                <w:rFonts w:hint="eastAsia" w:eastAsia="仿宋_GB2312"/>
                <w:sz w:val="28"/>
                <w:szCs w:val="28"/>
                <w:lang w:val="en-US" w:eastAsia="zh-CN"/>
              </w:rPr>
            </w:pPr>
          </w:p>
          <w:p>
            <w:pPr>
              <w:spacing w:line="560" w:lineRule="exact"/>
              <w:jc w:val="center"/>
              <w:rPr>
                <w:rFonts w:hint="default" w:eastAsia="仿宋_GB2312"/>
                <w:sz w:val="28"/>
                <w:szCs w:val="28"/>
                <w:lang w:val="en-US" w:eastAsia="zh-CN"/>
              </w:rPr>
            </w:pPr>
            <w:r>
              <w:rPr>
                <w:rFonts w:hint="eastAsia" w:eastAsia="仿宋_GB2312"/>
                <w:sz w:val="28"/>
                <w:szCs w:val="28"/>
                <w:lang w:val="en-US" w:eastAsia="zh-CN"/>
              </w:rPr>
              <w:t>无</w:t>
            </w:r>
          </w:p>
          <w:p>
            <w:pPr>
              <w:spacing w:line="560" w:lineRule="exact"/>
              <w:jc w:val="center"/>
              <w:rPr>
                <w:rFonts w:eastAsia="仿宋_GB2312"/>
                <w:sz w:val="28"/>
                <w:szCs w:val="28"/>
              </w:rPr>
            </w:pPr>
          </w:p>
          <w:p>
            <w:pPr>
              <w:spacing w:line="560" w:lineRule="exact"/>
              <w:jc w:val="center"/>
              <w:rPr>
                <w:rFonts w:eastAsia="仿宋_GB2312"/>
                <w:sz w:val="28"/>
                <w:szCs w:val="28"/>
              </w:rPr>
            </w:pPr>
          </w:p>
          <w:p>
            <w:pPr>
              <w:spacing w:line="560" w:lineRule="exact"/>
              <w:jc w:val="center"/>
              <w:rPr>
                <w:rFonts w:eastAsia="仿宋_GB2312"/>
                <w:sz w:val="28"/>
                <w:szCs w:val="28"/>
              </w:rPr>
            </w:pPr>
          </w:p>
          <w:p>
            <w:pPr>
              <w:spacing w:line="560" w:lineRule="exact"/>
              <w:jc w:val="center"/>
              <w:rPr>
                <w:rFonts w:eastAsia="仿宋_GB2312"/>
                <w:sz w:val="28"/>
                <w:szCs w:val="28"/>
              </w:rPr>
            </w:pPr>
          </w:p>
        </w:tc>
      </w:tr>
    </w:tbl>
    <w:p>
      <w:pPr>
        <w:widowControl/>
        <w:jc w:val="left"/>
        <w:sectPr>
          <w:pgSz w:w="16838" w:h="11906" w:orient="landscape"/>
          <w:pgMar w:top="1588" w:right="2098" w:bottom="1588" w:left="1985" w:header="851" w:footer="992" w:gutter="0"/>
          <w:cols w:space="720" w:num="1"/>
          <w:docGrid w:type="lines" w:linePitch="312" w:charSpace="0"/>
        </w:sectPr>
      </w:pPr>
    </w:p>
    <w:p>
      <w:pPr>
        <w:spacing w:line="560" w:lineRule="exact"/>
        <w:ind w:firstLine="204" w:firstLineChars="64"/>
        <w:jc w:val="left"/>
        <w:rPr>
          <w:rFonts w:eastAsia="仿宋_GB2312"/>
          <w:sz w:val="32"/>
          <w:szCs w:val="32"/>
        </w:rPr>
      </w:pPr>
      <w:r>
        <w:rPr>
          <w:rFonts w:hint="eastAsia" w:eastAsia="仿宋_GB2312"/>
          <w:sz w:val="32"/>
          <w:szCs w:val="32"/>
        </w:rPr>
        <w:t>填表说明：</w:t>
      </w:r>
    </w:p>
    <w:p>
      <w:pPr>
        <w:numPr>
          <w:ilvl w:val="0"/>
          <w:numId w:val="3"/>
        </w:numPr>
        <w:spacing w:line="560" w:lineRule="exact"/>
        <w:jc w:val="left"/>
        <w:rPr>
          <w:rFonts w:eastAsia="仿宋_GB2312"/>
          <w:sz w:val="32"/>
          <w:szCs w:val="32"/>
        </w:rPr>
      </w:pPr>
      <w:r>
        <w:rPr>
          <w:rFonts w:hint="eastAsia" w:eastAsia="仿宋_GB2312"/>
          <w:sz w:val="32"/>
          <w:szCs w:val="32"/>
        </w:rPr>
        <w:t>排放口编号或名称应与排污许可证上载明的一致，排放口位置为排放口所在的经纬度，排放方式为纳管或排环境，排放浓度为最近一次监测数值，监测方式为手工或自动，排放总量为最近一次的年度实际排放总量，核定的排放总量为排污许可证上载明的核定排放总量或环评批复上允许的排放总量。</w:t>
      </w:r>
    </w:p>
    <w:p>
      <w:pPr>
        <w:numPr>
          <w:ilvl w:val="0"/>
          <w:numId w:val="3"/>
        </w:numPr>
        <w:spacing w:line="560" w:lineRule="exact"/>
        <w:jc w:val="left"/>
        <w:rPr>
          <w:rFonts w:eastAsia="仿宋_GB2312"/>
          <w:sz w:val="32"/>
          <w:szCs w:val="32"/>
        </w:rPr>
      </w:pPr>
      <w:r>
        <w:rPr>
          <w:rFonts w:hint="eastAsia" w:eastAsia="仿宋_GB2312"/>
          <w:sz w:val="32"/>
          <w:szCs w:val="32"/>
        </w:rPr>
        <w:t>污染源自动监控系统作为环境保护设施的组成部分，应在防治污染设施的建设和运行情况中予以公开，并在处理能力中填写监测指标。</w:t>
      </w:r>
    </w:p>
    <w:p>
      <w:pPr>
        <w:numPr>
          <w:ilvl w:val="0"/>
          <w:numId w:val="3"/>
        </w:numPr>
        <w:spacing w:line="560" w:lineRule="exact"/>
        <w:jc w:val="left"/>
        <w:rPr>
          <w:rFonts w:eastAsia="仿宋_GB2312"/>
          <w:sz w:val="32"/>
          <w:szCs w:val="32"/>
        </w:rPr>
      </w:pPr>
      <w:r>
        <w:rPr>
          <w:rFonts w:hint="eastAsia" w:eastAsia="仿宋_GB2312"/>
          <w:sz w:val="32"/>
          <w:szCs w:val="32"/>
        </w:rPr>
        <w:t>企业事业单位环境信息涉及国家秘密、商业秘密或者个人隐私的，依法可以不公开，法律、法规另有规定的，从其规定。</w:t>
      </w:r>
    </w:p>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Noto Sans CJK JP Regular">
    <w:altName w:val="Arial"/>
    <w:panose1 w:val="00000000000000000000"/>
    <w:charset w:val="00"/>
    <w:family w:val="swiss"/>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MS Mincho">
    <w:panose1 w:val="02020609040205080304"/>
    <w:charset w:val="80"/>
    <w:family w:val="modern"/>
    <w:pitch w:val="default"/>
    <w:sig w:usb0="E00002FF" w:usb1="6AC7FDFB" w:usb2="00000012" w:usb3="00000000" w:csb0="4002009F" w:csb1="DFD7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ans-serif">
    <w:altName w:val="Courier New"/>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t>1</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AF3EF"/>
    <w:multiLevelType w:val="singleLevel"/>
    <w:tmpl w:val="9E1AF3EF"/>
    <w:lvl w:ilvl="0" w:tentative="0">
      <w:start w:val="3"/>
      <w:numFmt w:val="chineseCounting"/>
      <w:suff w:val="nothing"/>
      <w:lvlText w:val="%1、"/>
      <w:lvlJc w:val="left"/>
      <w:rPr>
        <w:rFonts w:hint="eastAsia"/>
      </w:rPr>
    </w:lvl>
  </w:abstractNum>
  <w:abstractNum w:abstractNumId="1">
    <w:nsid w:val="1EC3B2AE"/>
    <w:multiLevelType w:val="singleLevel"/>
    <w:tmpl w:val="1EC3B2AE"/>
    <w:lvl w:ilvl="0" w:tentative="0">
      <w:start w:val="8"/>
      <w:numFmt w:val="chineseCounting"/>
      <w:suff w:val="nothing"/>
      <w:lvlText w:val="%1、"/>
      <w:lvlJc w:val="left"/>
      <w:rPr>
        <w:rFonts w:hint="eastAsia"/>
      </w:rPr>
    </w:lvl>
  </w:abstractNum>
  <w:abstractNum w:abstractNumId="2">
    <w:nsid w:val="567CD845"/>
    <w:multiLevelType w:val="multilevel"/>
    <w:tmpl w:val="567CD845"/>
    <w:lvl w:ilvl="0" w:tentative="0">
      <w:start w:val="1"/>
      <w:numFmt w:val="decimal"/>
      <w:lvlText w:val="%1、"/>
      <w:lvlJc w:val="left"/>
      <w:pPr>
        <w:ind w:left="925" w:hanging="720"/>
      </w:pPr>
      <w:rPr>
        <w:rFonts w:cs="Times New Roman"/>
      </w:rPr>
    </w:lvl>
    <w:lvl w:ilvl="1" w:tentative="0">
      <w:start w:val="1"/>
      <w:numFmt w:val="lowerLetter"/>
      <w:lvlText w:val="%2)"/>
      <w:lvlJc w:val="left"/>
      <w:pPr>
        <w:ind w:left="1045" w:hanging="420"/>
      </w:pPr>
      <w:rPr>
        <w:rFonts w:cs="Times New Roman"/>
      </w:rPr>
    </w:lvl>
    <w:lvl w:ilvl="2" w:tentative="0">
      <w:start w:val="1"/>
      <w:numFmt w:val="lowerRoman"/>
      <w:lvlText w:val="%3."/>
      <w:lvlJc w:val="right"/>
      <w:pPr>
        <w:ind w:left="1465" w:hanging="420"/>
      </w:pPr>
      <w:rPr>
        <w:rFonts w:cs="Times New Roman"/>
      </w:rPr>
    </w:lvl>
    <w:lvl w:ilvl="3" w:tentative="0">
      <w:start w:val="1"/>
      <w:numFmt w:val="decimal"/>
      <w:lvlText w:val="%4."/>
      <w:lvlJc w:val="left"/>
      <w:pPr>
        <w:ind w:left="1885" w:hanging="420"/>
      </w:pPr>
      <w:rPr>
        <w:rFonts w:cs="Times New Roman"/>
      </w:rPr>
    </w:lvl>
    <w:lvl w:ilvl="4" w:tentative="0">
      <w:start w:val="1"/>
      <w:numFmt w:val="lowerLetter"/>
      <w:lvlText w:val="%5)"/>
      <w:lvlJc w:val="left"/>
      <w:pPr>
        <w:ind w:left="2305" w:hanging="420"/>
      </w:pPr>
      <w:rPr>
        <w:rFonts w:cs="Times New Roman"/>
      </w:rPr>
    </w:lvl>
    <w:lvl w:ilvl="5" w:tentative="0">
      <w:start w:val="1"/>
      <w:numFmt w:val="lowerRoman"/>
      <w:lvlText w:val="%6."/>
      <w:lvlJc w:val="right"/>
      <w:pPr>
        <w:ind w:left="2725" w:hanging="420"/>
      </w:pPr>
      <w:rPr>
        <w:rFonts w:cs="Times New Roman"/>
      </w:rPr>
    </w:lvl>
    <w:lvl w:ilvl="6" w:tentative="0">
      <w:start w:val="1"/>
      <w:numFmt w:val="decimal"/>
      <w:lvlText w:val="%7."/>
      <w:lvlJc w:val="left"/>
      <w:pPr>
        <w:ind w:left="3145" w:hanging="420"/>
      </w:pPr>
      <w:rPr>
        <w:rFonts w:cs="Times New Roman"/>
      </w:rPr>
    </w:lvl>
    <w:lvl w:ilvl="7" w:tentative="0">
      <w:start w:val="1"/>
      <w:numFmt w:val="lowerLetter"/>
      <w:lvlText w:val="%8)"/>
      <w:lvlJc w:val="left"/>
      <w:pPr>
        <w:ind w:left="3565" w:hanging="420"/>
      </w:pPr>
      <w:rPr>
        <w:rFonts w:cs="Times New Roman"/>
      </w:rPr>
    </w:lvl>
    <w:lvl w:ilvl="8" w:tentative="0">
      <w:start w:val="1"/>
      <w:numFmt w:val="lowerRoman"/>
      <w:lvlText w:val="%9."/>
      <w:lvlJc w:val="right"/>
      <w:pPr>
        <w:ind w:left="3985" w:hanging="420"/>
      </w:pPr>
      <w:rPr>
        <w:rFonts w:cs="Times New Roman"/>
      </w:rPr>
    </w:lvl>
  </w:abstractNum>
  <w:num w:numId="1">
    <w:abstractNumId w:val="0"/>
  </w:num>
  <w:num w:numId="2">
    <w:abstractNumId w:val="1"/>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12F"/>
    <w:rsid w:val="00147E36"/>
    <w:rsid w:val="001F712F"/>
    <w:rsid w:val="002210F3"/>
    <w:rsid w:val="00257CB1"/>
    <w:rsid w:val="005C0EE6"/>
    <w:rsid w:val="00600B25"/>
    <w:rsid w:val="007D13F3"/>
    <w:rsid w:val="00835169"/>
    <w:rsid w:val="009B3E20"/>
    <w:rsid w:val="00A7306C"/>
    <w:rsid w:val="00B605BD"/>
    <w:rsid w:val="00C20F1F"/>
    <w:rsid w:val="00EA0A0C"/>
    <w:rsid w:val="010C6BAD"/>
    <w:rsid w:val="013E1821"/>
    <w:rsid w:val="02B90D8E"/>
    <w:rsid w:val="02CC60EB"/>
    <w:rsid w:val="030B63A0"/>
    <w:rsid w:val="038B6C58"/>
    <w:rsid w:val="03C10485"/>
    <w:rsid w:val="058F5FC0"/>
    <w:rsid w:val="06357962"/>
    <w:rsid w:val="06524D89"/>
    <w:rsid w:val="06B95A33"/>
    <w:rsid w:val="06DE09DF"/>
    <w:rsid w:val="072B244C"/>
    <w:rsid w:val="07805F5A"/>
    <w:rsid w:val="07E06662"/>
    <w:rsid w:val="093C6FEA"/>
    <w:rsid w:val="0A2157CF"/>
    <w:rsid w:val="0AAA590F"/>
    <w:rsid w:val="0B8C0A02"/>
    <w:rsid w:val="0D2E4C78"/>
    <w:rsid w:val="0D373D58"/>
    <w:rsid w:val="0D53059E"/>
    <w:rsid w:val="0D583CAD"/>
    <w:rsid w:val="0E4B790E"/>
    <w:rsid w:val="0F055926"/>
    <w:rsid w:val="0F8D601A"/>
    <w:rsid w:val="0FEA0B2D"/>
    <w:rsid w:val="100B7BF3"/>
    <w:rsid w:val="10461AF8"/>
    <w:rsid w:val="10D568F9"/>
    <w:rsid w:val="114A7C6E"/>
    <w:rsid w:val="11C95013"/>
    <w:rsid w:val="12597751"/>
    <w:rsid w:val="12607967"/>
    <w:rsid w:val="150E16C8"/>
    <w:rsid w:val="152D1270"/>
    <w:rsid w:val="16EB44D5"/>
    <w:rsid w:val="171E7BBB"/>
    <w:rsid w:val="17D359A4"/>
    <w:rsid w:val="181168C7"/>
    <w:rsid w:val="181E31A7"/>
    <w:rsid w:val="188E5A17"/>
    <w:rsid w:val="1927334D"/>
    <w:rsid w:val="1A027B1F"/>
    <w:rsid w:val="1A2129B3"/>
    <w:rsid w:val="1A944B14"/>
    <w:rsid w:val="1AE93B1B"/>
    <w:rsid w:val="1B38662E"/>
    <w:rsid w:val="1BBA192B"/>
    <w:rsid w:val="1BD05417"/>
    <w:rsid w:val="1CC958BE"/>
    <w:rsid w:val="1E066E89"/>
    <w:rsid w:val="1E5408BE"/>
    <w:rsid w:val="1E561621"/>
    <w:rsid w:val="1E5E4611"/>
    <w:rsid w:val="1F6B3698"/>
    <w:rsid w:val="1FF0628A"/>
    <w:rsid w:val="2155566D"/>
    <w:rsid w:val="216D37EA"/>
    <w:rsid w:val="21DD425A"/>
    <w:rsid w:val="21F01266"/>
    <w:rsid w:val="242A1BA0"/>
    <w:rsid w:val="24520CF3"/>
    <w:rsid w:val="254D4979"/>
    <w:rsid w:val="26A27BE5"/>
    <w:rsid w:val="2848098A"/>
    <w:rsid w:val="28820B71"/>
    <w:rsid w:val="28AE550B"/>
    <w:rsid w:val="28FC1D98"/>
    <w:rsid w:val="29263201"/>
    <w:rsid w:val="2A140F46"/>
    <w:rsid w:val="2A4209CE"/>
    <w:rsid w:val="2A9B3790"/>
    <w:rsid w:val="2AAF4B3F"/>
    <w:rsid w:val="2B7E319F"/>
    <w:rsid w:val="2BBB52C1"/>
    <w:rsid w:val="2CBA495C"/>
    <w:rsid w:val="2CF517D3"/>
    <w:rsid w:val="2D193BF2"/>
    <w:rsid w:val="2D320340"/>
    <w:rsid w:val="2D5653ED"/>
    <w:rsid w:val="2F4910A0"/>
    <w:rsid w:val="2F7C53CF"/>
    <w:rsid w:val="2FE61DA5"/>
    <w:rsid w:val="3085015A"/>
    <w:rsid w:val="351A1B36"/>
    <w:rsid w:val="357C3016"/>
    <w:rsid w:val="36107D0E"/>
    <w:rsid w:val="3641657F"/>
    <w:rsid w:val="365E067E"/>
    <w:rsid w:val="37197EAF"/>
    <w:rsid w:val="384F25AE"/>
    <w:rsid w:val="39767DA7"/>
    <w:rsid w:val="398B7E3D"/>
    <w:rsid w:val="3BAF56C1"/>
    <w:rsid w:val="3BB657C0"/>
    <w:rsid w:val="3C916821"/>
    <w:rsid w:val="3C9F0324"/>
    <w:rsid w:val="3E285F9E"/>
    <w:rsid w:val="3E28611D"/>
    <w:rsid w:val="3EDF3389"/>
    <w:rsid w:val="405448EF"/>
    <w:rsid w:val="40F9220F"/>
    <w:rsid w:val="413E3847"/>
    <w:rsid w:val="4153458B"/>
    <w:rsid w:val="41C04ADA"/>
    <w:rsid w:val="41DD49D5"/>
    <w:rsid w:val="42A133CC"/>
    <w:rsid w:val="436A4C1C"/>
    <w:rsid w:val="44124E41"/>
    <w:rsid w:val="443D433E"/>
    <w:rsid w:val="47F47D36"/>
    <w:rsid w:val="48A3497C"/>
    <w:rsid w:val="48DD7E23"/>
    <w:rsid w:val="493C65B5"/>
    <w:rsid w:val="49DF3234"/>
    <w:rsid w:val="4A3A12BA"/>
    <w:rsid w:val="4A762B0E"/>
    <w:rsid w:val="4AA8049B"/>
    <w:rsid w:val="4B16537F"/>
    <w:rsid w:val="4D096CC1"/>
    <w:rsid w:val="4D481CEC"/>
    <w:rsid w:val="4E2F73D0"/>
    <w:rsid w:val="4E5A12D9"/>
    <w:rsid w:val="4F8322EA"/>
    <w:rsid w:val="4FB524F0"/>
    <w:rsid w:val="501A68F7"/>
    <w:rsid w:val="5061150F"/>
    <w:rsid w:val="50790041"/>
    <w:rsid w:val="507E1AFC"/>
    <w:rsid w:val="50AB1C08"/>
    <w:rsid w:val="50AE519E"/>
    <w:rsid w:val="51492906"/>
    <w:rsid w:val="51BF6359"/>
    <w:rsid w:val="531A6557"/>
    <w:rsid w:val="53D045E4"/>
    <w:rsid w:val="5475552D"/>
    <w:rsid w:val="55BF6BFB"/>
    <w:rsid w:val="55F67B88"/>
    <w:rsid w:val="56030808"/>
    <w:rsid w:val="56083A20"/>
    <w:rsid w:val="57D62FF5"/>
    <w:rsid w:val="590435D7"/>
    <w:rsid w:val="590B7F02"/>
    <w:rsid w:val="594C1A6B"/>
    <w:rsid w:val="59A94644"/>
    <w:rsid w:val="59EA6123"/>
    <w:rsid w:val="5A4B23CD"/>
    <w:rsid w:val="5A4F08BF"/>
    <w:rsid w:val="5AAA3A4D"/>
    <w:rsid w:val="5CA93B9A"/>
    <w:rsid w:val="5D445F0F"/>
    <w:rsid w:val="5DF91252"/>
    <w:rsid w:val="5E250C96"/>
    <w:rsid w:val="5E2E5847"/>
    <w:rsid w:val="5E6F6ED5"/>
    <w:rsid w:val="5E9C1E27"/>
    <w:rsid w:val="5FA9130F"/>
    <w:rsid w:val="5FD923BF"/>
    <w:rsid w:val="600C5A71"/>
    <w:rsid w:val="60583943"/>
    <w:rsid w:val="60656DAB"/>
    <w:rsid w:val="60A04138"/>
    <w:rsid w:val="61BF73D7"/>
    <w:rsid w:val="623601A4"/>
    <w:rsid w:val="624D1AA5"/>
    <w:rsid w:val="62E67CBB"/>
    <w:rsid w:val="62FC213B"/>
    <w:rsid w:val="63837975"/>
    <w:rsid w:val="63CE75DC"/>
    <w:rsid w:val="64591692"/>
    <w:rsid w:val="64A76AAF"/>
    <w:rsid w:val="64B43DF7"/>
    <w:rsid w:val="64D7521C"/>
    <w:rsid w:val="65816D3A"/>
    <w:rsid w:val="65D22C57"/>
    <w:rsid w:val="661C4D4C"/>
    <w:rsid w:val="679E6DD3"/>
    <w:rsid w:val="67B13757"/>
    <w:rsid w:val="68732337"/>
    <w:rsid w:val="687365C5"/>
    <w:rsid w:val="68887BFA"/>
    <w:rsid w:val="69C51D0E"/>
    <w:rsid w:val="6A1D4C59"/>
    <w:rsid w:val="6B1E5FD0"/>
    <w:rsid w:val="6B7E2792"/>
    <w:rsid w:val="6C48521B"/>
    <w:rsid w:val="6D1B2D9B"/>
    <w:rsid w:val="6D7B2CA6"/>
    <w:rsid w:val="6DC7655A"/>
    <w:rsid w:val="6DDF674F"/>
    <w:rsid w:val="6E9D3662"/>
    <w:rsid w:val="6EC5521F"/>
    <w:rsid w:val="6F56673C"/>
    <w:rsid w:val="6FCF20D0"/>
    <w:rsid w:val="70CF32BE"/>
    <w:rsid w:val="71C9367F"/>
    <w:rsid w:val="71FB5C42"/>
    <w:rsid w:val="721660FE"/>
    <w:rsid w:val="72201501"/>
    <w:rsid w:val="73F33B39"/>
    <w:rsid w:val="748F1D9A"/>
    <w:rsid w:val="74EE34AF"/>
    <w:rsid w:val="75BC330E"/>
    <w:rsid w:val="7784677C"/>
    <w:rsid w:val="77C4324D"/>
    <w:rsid w:val="78C751FA"/>
    <w:rsid w:val="78F62FD2"/>
    <w:rsid w:val="7A0E7069"/>
    <w:rsid w:val="7A365CCF"/>
    <w:rsid w:val="7B0F5121"/>
    <w:rsid w:val="7B2C15BE"/>
    <w:rsid w:val="7B756C9A"/>
    <w:rsid w:val="7C525F1B"/>
    <w:rsid w:val="7D2716C3"/>
    <w:rsid w:val="7DB64066"/>
    <w:rsid w:val="7FC818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1"/>
    <w:qFormat/>
    <w:uiPriority w:val="99"/>
    <w:pPr>
      <w:keepNext/>
      <w:keepLines/>
      <w:spacing w:before="340" w:after="330" w:line="578" w:lineRule="auto"/>
      <w:jc w:val="center"/>
      <w:outlineLvl w:val="0"/>
    </w:pPr>
    <w:rPr>
      <w:b/>
      <w:kern w:val="44"/>
      <w:sz w:val="32"/>
    </w:rPr>
  </w:style>
  <w:style w:type="paragraph" w:styleId="4">
    <w:name w:val="heading 2"/>
    <w:basedOn w:val="1"/>
    <w:next w:val="1"/>
    <w:link w:val="22"/>
    <w:qFormat/>
    <w:uiPriority w:val="99"/>
    <w:pPr>
      <w:keepNext/>
      <w:keepLines/>
      <w:spacing w:before="260" w:after="260" w:line="416" w:lineRule="auto"/>
      <w:outlineLvl w:val="1"/>
    </w:pPr>
    <w:rPr>
      <w:rFonts w:ascii="Arial" w:hAnsi="Arial"/>
      <w:b/>
      <w:sz w:val="28"/>
    </w:rPr>
  </w:style>
  <w:style w:type="paragraph" w:styleId="5">
    <w:name w:val="heading 3"/>
    <w:basedOn w:val="1"/>
    <w:next w:val="1"/>
    <w:link w:val="19"/>
    <w:qFormat/>
    <w:uiPriority w:val="99"/>
    <w:pPr>
      <w:keepNext/>
      <w:keepLines/>
      <w:spacing w:before="260" w:after="260" w:line="416" w:lineRule="auto"/>
      <w:outlineLvl w:val="2"/>
    </w:pPr>
    <w:rPr>
      <w:sz w:val="28"/>
    </w:rPr>
  </w:style>
  <w:style w:type="paragraph" w:styleId="6">
    <w:name w:val="heading 4"/>
    <w:basedOn w:val="1"/>
    <w:next w:val="1"/>
    <w:link w:val="20"/>
    <w:qFormat/>
    <w:uiPriority w:val="99"/>
    <w:pPr>
      <w:keepNext/>
      <w:keepLines/>
      <w:spacing w:before="280" w:after="290" w:line="376" w:lineRule="auto"/>
      <w:outlineLvl w:val="3"/>
    </w:pPr>
    <w:rPr>
      <w:rFonts w:ascii="Cambria" w:hAnsi="Cambria"/>
      <w:b/>
      <w:bCs/>
      <w:sz w:val="28"/>
      <w:szCs w:val="28"/>
    </w:rPr>
  </w:style>
  <w:style w:type="character" w:default="1" w:styleId="14">
    <w:name w:val="Default Paragraph Font"/>
    <w:semiHidden/>
    <w:qFormat/>
    <w:uiPriority w:val="99"/>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toc 2"/>
    <w:basedOn w:val="1"/>
    <w:next w:val="1"/>
    <w:qFormat/>
    <w:locked/>
    <w:uiPriority w:val="39"/>
    <w:pPr>
      <w:ind w:left="420" w:leftChars="200"/>
    </w:pPr>
  </w:style>
  <w:style w:type="paragraph" w:styleId="7">
    <w:name w:val="Body Text"/>
    <w:basedOn w:val="1"/>
    <w:qFormat/>
    <w:uiPriority w:val="1"/>
    <w:pPr>
      <w:widowControl w:val="0"/>
      <w:autoSpaceDE w:val="0"/>
      <w:autoSpaceDN w:val="0"/>
      <w:adjustRightInd/>
      <w:snapToGrid/>
      <w:spacing w:after="0"/>
    </w:pPr>
    <w:rPr>
      <w:rFonts w:ascii="Noto Sans CJK JP Regular" w:hAnsi="Noto Sans CJK JP Regular" w:eastAsia="Noto Sans CJK JP Regular" w:cs="Noto Sans CJK JP Regular"/>
      <w:sz w:val="24"/>
      <w:szCs w:val="24"/>
      <w:lang w:val="zh-CN" w:bidi="zh-CN"/>
    </w:rPr>
  </w:style>
  <w:style w:type="paragraph" w:styleId="8">
    <w:name w:val="Plain Text"/>
    <w:basedOn w:val="1"/>
    <w:link w:val="24"/>
    <w:qFormat/>
    <w:uiPriority w:val="99"/>
    <w:pPr>
      <w:adjustRightInd w:val="0"/>
      <w:spacing w:line="312" w:lineRule="atLeast"/>
      <w:textAlignment w:val="baseline"/>
    </w:pPr>
    <w:rPr>
      <w:rFonts w:ascii="宋体" w:hAnsi="Courier New"/>
      <w:kern w:val="0"/>
      <w:szCs w:val="20"/>
    </w:rPr>
  </w:style>
  <w:style w:type="paragraph" w:styleId="9">
    <w:name w:val="Balloon Text"/>
    <w:basedOn w:val="1"/>
    <w:link w:val="18"/>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sz w:val="18"/>
      <w:szCs w:val="18"/>
    </w:rPr>
  </w:style>
  <w:style w:type="paragraph" w:styleId="11">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spacing w:before="100" w:beforeAutospacing="1" w:after="100" w:afterAutospacing="1"/>
      <w:jc w:val="left"/>
    </w:pPr>
    <w:rPr>
      <w:rFonts w:ascii="宋体" w:hAnsi="宋体"/>
      <w:kern w:val="0"/>
      <w:sz w:val="24"/>
    </w:rPr>
  </w:style>
  <w:style w:type="character" w:styleId="15">
    <w:name w:val="Hyperlink"/>
    <w:qFormat/>
    <w:uiPriority w:val="99"/>
    <w:rPr>
      <w:color w:val="0000FF"/>
      <w:u w:val="single"/>
    </w:rPr>
  </w:style>
  <w:style w:type="paragraph" w:customStyle="1" w:styleId="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7">
    <w:name w:val="Header Char"/>
    <w:basedOn w:val="14"/>
    <w:link w:val="11"/>
    <w:qFormat/>
    <w:locked/>
    <w:uiPriority w:val="99"/>
    <w:rPr>
      <w:rFonts w:ascii="Calibri" w:hAnsi="Calibri" w:eastAsia="宋体" w:cs="Times New Roman"/>
      <w:sz w:val="18"/>
      <w:szCs w:val="18"/>
    </w:rPr>
  </w:style>
  <w:style w:type="character" w:customStyle="1" w:styleId="18">
    <w:name w:val="Balloon Text Char"/>
    <w:basedOn w:val="14"/>
    <w:link w:val="9"/>
    <w:semiHidden/>
    <w:qFormat/>
    <w:locked/>
    <w:uiPriority w:val="99"/>
    <w:rPr>
      <w:rFonts w:ascii="Calibri" w:hAnsi="Calibri" w:eastAsia="宋体" w:cs="Times New Roman"/>
      <w:kern w:val="2"/>
      <w:sz w:val="18"/>
      <w:szCs w:val="18"/>
    </w:rPr>
  </w:style>
  <w:style w:type="character" w:customStyle="1" w:styleId="19">
    <w:name w:val="Heading 3 Char"/>
    <w:basedOn w:val="14"/>
    <w:link w:val="5"/>
    <w:semiHidden/>
    <w:qFormat/>
    <w:uiPriority w:val="9"/>
    <w:rPr>
      <w:rFonts w:ascii="Calibri" w:hAnsi="Calibri"/>
      <w:b/>
      <w:bCs/>
      <w:sz w:val="32"/>
      <w:szCs w:val="32"/>
    </w:rPr>
  </w:style>
  <w:style w:type="character" w:customStyle="1" w:styleId="20">
    <w:name w:val="Heading 4 Char"/>
    <w:basedOn w:val="14"/>
    <w:link w:val="6"/>
    <w:semiHidden/>
    <w:qFormat/>
    <w:uiPriority w:val="9"/>
    <w:rPr>
      <w:rFonts w:ascii="Cambria" w:hAnsi="Cambria" w:eastAsia="宋体" w:cs="Times New Roman"/>
      <w:b/>
      <w:bCs/>
      <w:sz w:val="28"/>
      <w:szCs w:val="28"/>
    </w:rPr>
  </w:style>
  <w:style w:type="character" w:customStyle="1" w:styleId="21">
    <w:name w:val="Heading 1 Char"/>
    <w:basedOn w:val="14"/>
    <w:link w:val="3"/>
    <w:qFormat/>
    <w:uiPriority w:val="9"/>
    <w:rPr>
      <w:rFonts w:ascii="Calibri" w:hAnsi="Calibri"/>
      <w:b/>
      <w:bCs/>
      <w:kern w:val="44"/>
      <w:sz w:val="44"/>
      <w:szCs w:val="44"/>
    </w:rPr>
  </w:style>
  <w:style w:type="character" w:customStyle="1" w:styleId="22">
    <w:name w:val="Heading 2 Char"/>
    <w:basedOn w:val="14"/>
    <w:link w:val="4"/>
    <w:semiHidden/>
    <w:qFormat/>
    <w:uiPriority w:val="9"/>
    <w:rPr>
      <w:rFonts w:ascii="Cambria" w:hAnsi="Cambria" w:eastAsia="宋体" w:cs="Times New Roman"/>
      <w:b/>
      <w:bCs/>
      <w:sz w:val="32"/>
      <w:szCs w:val="32"/>
    </w:rPr>
  </w:style>
  <w:style w:type="character" w:customStyle="1" w:styleId="23">
    <w:name w:val="Footer Char"/>
    <w:basedOn w:val="14"/>
    <w:link w:val="10"/>
    <w:qFormat/>
    <w:locked/>
    <w:uiPriority w:val="99"/>
    <w:rPr>
      <w:rFonts w:ascii="Calibri" w:hAnsi="Calibri" w:eastAsia="宋体" w:cs="Times New Roman"/>
      <w:sz w:val="18"/>
      <w:szCs w:val="18"/>
    </w:rPr>
  </w:style>
  <w:style w:type="character" w:customStyle="1" w:styleId="24">
    <w:name w:val="Plain Text Char"/>
    <w:basedOn w:val="14"/>
    <w:link w:val="8"/>
    <w:semiHidden/>
    <w:qFormat/>
    <w:uiPriority w:val="99"/>
    <w:rPr>
      <w:rFonts w:ascii="宋体" w:hAnsi="Courier New" w:cs="Courier New"/>
      <w:szCs w:val="21"/>
    </w:rPr>
  </w:style>
  <w:style w:type="paragraph" w:customStyle="1" w:styleId="25">
    <w:name w:val="报告正文"/>
    <w:basedOn w:val="1"/>
    <w:qFormat/>
    <w:uiPriority w:val="99"/>
    <w:pPr>
      <w:spacing w:line="480" w:lineRule="exact"/>
      <w:ind w:firstLine="200" w:firstLineChars="200"/>
    </w:pPr>
    <w:rPr>
      <w:sz w:val="24"/>
    </w:rPr>
  </w:style>
  <w:style w:type="paragraph" w:customStyle="1" w:styleId="26">
    <w:name w:val="2级标题"/>
    <w:basedOn w:val="1"/>
    <w:qFormat/>
    <w:uiPriority w:val="99"/>
    <w:pPr>
      <w:spacing w:before="60" w:line="460" w:lineRule="exact"/>
      <w:outlineLvl w:val="1"/>
    </w:pPr>
    <w:rPr>
      <w:b/>
      <w:sz w:val="28"/>
    </w:rPr>
  </w:style>
  <w:style w:type="paragraph" w:customStyle="1" w:styleId="27">
    <w:name w:val="reader-word-layer reader-word-s5-7"/>
    <w:basedOn w:val="1"/>
    <w:qFormat/>
    <w:uiPriority w:val="99"/>
    <w:pPr>
      <w:widowControl/>
      <w:spacing w:beforeAutospacing="1" w:afterAutospacing="1"/>
      <w:jc w:val="left"/>
    </w:pPr>
    <w:rPr>
      <w:rFonts w:ascii="宋体" w:hAnsi="宋体" w:cs="宋体"/>
      <w:kern w:val="0"/>
      <w:sz w:val="24"/>
    </w:rPr>
  </w:style>
  <w:style w:type="paragraph" w:customStyle="1" w:styleId="28">
    <w:name w:val="正文01"/>
    <w:basedOn w:val="1"/>
    <w:qFormat/>
    <w:uiPriority w:val="99"/>
    <w:pPr>
      <w:spacing w:before="60" w:line="460" w:lineRule="exact"/>
      <w:ind w:firstLine="200" w:firstLineChars="200"/>
    </w:pPr>
    <w:rPr>
      <w:sz w:val="24"/>
    </w:rPr>
  </w:style>
  <w:style w:type="paragraph" w:customStyle="1" w:styleId="29">
    <w:name w:val="0"/>
    <w:basedOn w:val="1"/>
    <w:qFormat/>
    <w:uiPriority w:val="99"/>
    <w:pPr>
      <w:widowControl/>
      <w:snapToGrid w:val="0"/>
      <w:jc w:val="left"/>
    </w:pPr>
    <w:rPr>
      <w:kern w:val="0"/>
      <w:sz w:val="20"/>
      <w:szCs w:val="20"/>
    </w:rPr>
  </w:style>
  <w:style w:type="paragraph" w:customStyle="1" w:styleId="30">
    <w:name w:val="三级标题"/>
    <w:basedOn w:val="28"/>
    <w:qFormat/>
    <w:uiPriority w:val="99"/>
    <w:pPr>
      <w:spacing w:before="300"/>
      <w:ind w:firstLine="0" w:firstLineChars="0"/>
      <w:outlineLvl w:val="2"/>
    </w:pPr>
    <w:rPr>
      <w:b/>
    </w:rPr>
  </w:style>
  <w:style w:type="paragraph" w:customStyle="1" w:styleId="31">
    <w:name w:val="样式 正文001 + Times New Roman"/>
    <w:basedOn w:val="32"/>
    <w:qFormat/>
    <w:uiPriority w:val="99"/>
    <w:pPr>
      <w:ind w:firstLine="482" w:firstLineChars="0"/>
    </w:pPr>
    <w:rPr>
      <w:rFonts w:ascii="Calibri" w:hAnsi="Calibri"/>
      <w:szCs w:val="22"/>
    </w:rPr>
  </w:style>
  <w:style w:type="paragraph" w:customStyle="1" w:styleId="32">
    <w:name w:val="正文001"/>
    <w:basedOn w:val="1"/>
    <w:qFormat/>
    <w:uiPriority w:val="99"/>
    <w:pPr>
      <w:spacing w:before="60" w:line="460" w:lineRule="exact"/>
      <w:ind w:firstLine="200" w:firstLineChars="200"/>
    </w:pPr>
    <w:rPr>
      <w:rFonts w:ascii="Arial" w:hAnsi="Arial"/>
      <w:sz w:val="24"/>
      <w:szCs w:val="20"/>
    </w:rPr>
  </w:style>
  <w:style w:type="paragraph" w:customStyle="1" w:styleId="33">
    <w:name w:val="xl24"/>
    <w:basedOn w:val="1"/>
    <w:qFormat/>
    <w:uiPriority w:val="99"/>
    <w:pPr>
      <w:widowControl/>
      <w:spacing w:before="100" w:beforeAutospacing="1" w:after="100" w:afterAutospacing="1"/>
      <w:jc w:val="center"/>
    </w:pPr>
    <w:rPr>
      <w:rFonts w:ascii="Arial Unicode MS" w:hAnsi="Arial Unicode MS" w:cs="Arial Unicode MS"/>
      <w:kern w:val="0"/>
      <w:sz w:val="24"/>
    </w:rPr>
  </w:style>
  <w:style w:type="paragraph" w:customStyle="1" w:styleId="34">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35">
    <w:name w:val="1级标题"/>
    <w:basedOn w:val="1"/>
    <w:qFormat/>
    <w:uiPriority w:val="99"/>
    <w:pPr>
      <w:spacing w:before="60" w:line="460" w:lineRule="exact"/>
      <w:outlineLvl w:val="0"/>
    </w:pPr>
    <w:rPr>
      <w:b/>
      <w:sz w:val="32"/>
    </w:rPr>
  </w:style>
  <w:style w:type="paragraph" w:customStyle="1" w:styleId="36">
    <w:name w:val="reader-word-layer reader-word-s5-1 reader-word-s5-10"/>
    <w:basedOn w:val="1"/>
    <w:qFormat/>
    <w:uiPriority w:val="99"/>
    <w:pPr>
      <w:widowControl/>
      <w:spacing w:beforeAutospacing="1" w:afterAutospacing="1"/>
      <w:jc w:val="left"/>
    </w:pPr>
    <w:rPr>
      <w:rFonts w:ascii="宋体" w:hAnsi="宋体" w:cs="宋体"/>
      <w:kern w:val="0"/>
      <w:sz w:val="24"/>
    </w:rPr>
  </w:style>
  <w:style w:type="paragraph" w:customStyle="1" w:styleId="37">
    <w:name w:val="正文 New New New New New New New New New New New New New New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8">
    <w:name w:val="3级标题"/>
    <w:basedOn w:val="1"/>
    <w:qFormat/>
    <w:uiPriority w:val="99"/>
    <w:pPr>
      <w:spacing w:before="300" w:line="460" w:lineRule="exact"/>
      <w:outlineLvl w:val="2"/>
    </w:pPr>
    <w:rPr>
      <w:rFonts w:ascii="Arial" w:hAnsi="Arial"/>
      <w:b/>
      <w:sz w:val="24"/>
    </w:rPr>
  </w:style>
  <w:style w:type="paragraph" w:customStyle="1" w:styleId="39">
    <w:name w:val="reader-word-layer reader-word-s5-9"/>
    <w:basedOn w:val="1"/>
    <w:qFormat/>
    <w:uiPriority w:val="99"/>
    <w:pPr>
      <w:widowControl/>
      <w:spacing w:beforeAutospacing="1" w:afterAutospacing="1"/>
      <w:jc w:val="left"/>
    </w:pPr>
    <w:rPr>
      <w:rFonts w:ascii="宋体" w:hAnsi="宋体" w:cs="宋体"/>
      <w:kern w:val="0"/>
      <w:sz w:val="24"/>
    </w:rPr>
  </w:style>
  <w:style w:type="paragraph" w:styleId="40">
    <w:name w:val="List Paragraph"/>
    <w:basedOn w:val="1"/>
    <w:qFormat/>
    <w:uiPriority w:val="34"/>
    <w:pPr>
      <w:ind w:firstLine="420" w:firstLineChars="200"/>
    </w:pPr>
  </w:style>
  <w:style w:type="character" w:customStyle="1" w:styleId="41">
    <w:name w:val="正文文本 + MS Mincho"/>
    <w:unhideWhenUsed/>
    <w:qFormat/>
    <w:uiPriority w:val="99"/>
    <w:rPr>
      <w:rFonts w:hint="default" w:ascii="MS Mincho" w:hAnsi="MS Mincho" w:eastAsia="MS Mincho"/>
      <w:spacing w:val="0"/>
      <w:sz w:val="21"/>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50</Pages>
  <Words>3882</Words>
  <Characters>22132</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2015-06-11T02:08:00Z</dcterms:created>
  <dc:creator>周密</dc:creator>
  <cp:lastModifiedBy>superman </cp:lastModifiedBy>
  <cp:lastPrinted>2015-12-24T03:11:00Z</cp:lastPrinted>
  <dcterms:modified xsi:type="dcterms:W3CDTF">2021-11-11T03:14:31Z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0C35D67D9E3C46D8AE04A250F2DF0361</vt:lpwstr>
  </property>
</Properties>
</file>