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单位名称</w:t>
            </w:r>
          </w:p>
        </w:tc>
        <w:tc>
          <w:tcPr>
            <w:tcW w:w="7371" w:type="dxa"/>
            <w:gridSpan w:val="3"/>
            <w:noWrap w:val="0"/>
            <w:vAlign w:val="top"/>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高碑店市白沟海建五金电镀厂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组织机构代码</w:t>
            </w:r>
          </w:p>
        </w:tc>
        <w:tc>
          <w:tcPr>
            <w:tcW w:w="2552" w:type="dxa"/>
            <w:noWrap w:val="0"/>
            <w:vAlign w:val="top"/>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92130611MA091GMJXR</w:t>
            </w:r>
          </w:p>
        </w:tc>
        <w:tc>
          <w:tcPr>
            <w:tcW w:w="1984"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法定代表人</w:t>
            </w:r>
          </w:p>
        </w:tc>
        <w:tc>
          <w:tcPr>
            <w:tcW w:w="2835"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李振学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生产地址</w:t>
            </w:r>
          </w:p>
        </w:tc>
        <w:tc>
          <w:tcPr>
            <w:tcW w:w="2552" w:type="dxa"/>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河北省保定市白沟新城白沟镇富民中路东侧</w:t>
            </w:r>
          </w:p>
        </w:tc>
        <w:tc>
          <w:tcPr>
            <w:tcW w:w="1984"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生产周期</w:t>
            </w:r>
          </w:p>
        </w:tc>
        <w:tc>
          <w:tcPr>
            <w:tcW w:w="2835" w:type="dxa"/>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所属行业</w:t>
            </w:r>
          </w:p>
        </w:tc>
        <w:tc>
          <w:tcPr>
            <w:tcW w:w="2552" w:type="dxa"/>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金属表面处理及热处理加工</w:t>
            </w:r>
          </w:p>
        </w:tc>
        <w:tc>
          <w:tcPr>
            <w:tcW w:w="1984" w:type="dxa"/>
            <w:noWrap w:val="0"/>
            <w:vAlign w:val="top"/>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联系电话</w:t>
            </w:r>
          </w:p>
        </w:tc>
        <w:tc>
          <w:tcPr>
            <w:tcW w:w="2835" w:type="dxa"/>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15830208833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top"/>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五金电镀，五金饰件加工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c>
          <w:tcPr>
            <w:tcW w:w="4819"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4"/>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55"/>
        <w:gridCol w:w="97"/>
        <w:gridCol w:w="786"/>
        <w:gridCol w:w="61"/>
        <w:gridCol w:w="238"/>
        <w:gridCol w:w="6"/>
        <w:gridCol w:w="750"/>
        <w:gridCol w:w="68"/>
        <w:gridCol w:w="889"/>
        <w:gridCol w:w="1047"/>
        <w:gridCol w:w="34"/>
        <w:gridCol w:w="615"/>
        <w:gridCol w:w="103"/>
        <w:gridCol w:w="28"/>
        <w:gridCol w:w="721"/>
        <w:gridCol w:w="23"/>
        <w:gridCol w:w="730"/>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5"/>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6009" w:type="dxa"/>
            <w:gridSpan w:val="17"/>
            <w:noWrap w:val="0"/>
            <w:vAlign w:val="center"/>
          </w:tcPr>
          <w:p>
            <w:pPr>
              <w:spacing w:line="500" w:lineRule="exact"/>
              <w:jc w:val="center"/>
              <w:rPr>
                <w:rFonts w:eastAsia="仿宋_GB2312"/>
                <w:sz w:val="24"/>
              </w:rPr>
            </w:pPr>
            <w:r>
              <w:rPr>
                <w:rFonts w:hint="eastAsia" w:eastAsia="仿宋_GB2312"/>
                <w:sz w:val="24"/>
              </w:rPr>
              <w:t>排放口数量</w:t>
            </w:r>
          </w:p>
        </w:tc>
        <w:tc>
          <w:tcPr>
            <w:tcW w:w="6905" w:type="dxa"/>
            <w:gridSpan w:val="18"/>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0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DW001综合废水排污口</w:t>
            </w:r>
          </w:p>
        </w:tc>
        <w:tc>
          <w:tcPr>
            <w:tcW w:w="1087" w:type="dxa"/>
            <w:gridSpan w:val="3"/>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经度116°2′15.65″，纬度经度39°8′8.05″，</w:t>
            </w:r>
          </w:p>
        </w:tc>
        <w:tc>
          <w:tcPr>
            <w:tcW w:w="829" w:type="dxa"/>
            <w:gridSpan w:val="2"/>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纳管</w:t>
            </w:r>
          </w:p>
        </w:tc>
        <w:tc>
          <w:tcPr>
            <w:tcW w:w="1300"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COD</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自动</w:t>
            </w:r>
          </w:p>
        </w:tc>
        <w:tc>
          <w:tcPr>
            <w:tcW w:w="709"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2021/4/4</w:t>
            </w:r>
          </w:p>
        </w:tc>
        <w:tc>
          <w:tcPr>
            <w:tcW w:w="944"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16.083</w:t>
            </w:r>
          </w:p>
        </w:tc>
        <w:tc>
          <w:tcPr>
            <w:tcW w:w="1062"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30</w:t>
            </w:r>
          </w:p>
        </w:tc>
        <w:tc>
          <w:tcPr>
            <w:tcW w:w="1936"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《电镀污染物排放标准》GB21900-2008、80</w:t>
            </w:r>
          </w:p>
        </w:tc>
        <w:tc>
          <w:tcPr>
            <w:tcW w:w="752"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749"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753"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悬浮物</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10</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《电镀污染物排放标准》GB21900-2008》10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49"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753"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总铜</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highlight w:val="none"/>
                <w:lang w:val="en-US" w:eastAsia="zh-CN" w:bidi="ar-SA"/>
              </w:rPr>
            </w:pPr>
            <w:r>
              <w:rPr>
                <w:rFonts w:hint="eastAsia" w:eastAsia="仿宋_GB2312"/>
                <w:szCs w:val="21"/>
                <w:highlight w:val="none"/>
                <w:lang w:val="en-US" w:eastAsia="zh-CN"/>
              </w:rPr>
              <w:t>0.5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0.013</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0.051</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49"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753"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动植物油</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100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石油类</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0.11</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3.0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PH</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7.22</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6-9</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总氮</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8.05</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12.84</w:t>
            </w:r>
          </w:p>
        </w:tc>
        <w:tc>
          <w:tcPr>
            <w:tcW w:w="1062"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0.749</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20</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五日生化需氧量</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8.5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230</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总磷</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0.27</w:t>
            </w:r>
          </w:p>
        </w:tc>
        <w:tc>
          <w:tcPr>
            <w:tcW w:w="784"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手动</w:t>
            </w:r>
          </w:p>
        </w:tc>
        <w:tc>
          <w:tcPr>
            <w:tcW w:w="70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062" w:type="dxa"/>
            <w:gridSpan w:val="4"/>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eastAsia" w:eastAsia="仿宋_GB2312"/>
                <w:szCs w:val="21"/>
                <w:lang w:val="en-US" w:eastAsia="zh-CN"/>
              </w:rPr>
            </w:pPr>
            <w:r>
              <w:rPr>
                <w:rFonts w:hint="eastAsia" w:eastAsia="仿宋_GB2312"/>
                <w:szCs w:val="21"/>
                <w:lang w:val="en-US" w:eastAsia="zh-CN"/>
              </w:rPr>
              <w:t>1.0</w:t>
            </w:r>
          </w:p>
        </w:tc>
        <w:tc>
          <w:tcPr>
            <w:tcW w:w="752" w:type="dxa"/>
            <w:gridSpan w:val="3"/>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jc w:val="center"/>
              <w:rPr>
                <w:rFonts w:hint="eastAsia" w:eastAsia="仿宋_GB2312"/>
                <w:szCs w:val="21"/>
                <w:lang w:val="en-US" w:eastAsia="zh-CN"/>
              </w:rPr>
            </w:pPr>
          </w:p>
        </w:tc>
        <w:tc>
          <w:tcPr>
            <w:tcW w:w="1087" w:type="dxa"/>
            <w:gridSpan w:val="3"/>
            <w:vMerge w:val="continue"/>
            <w:noWrap w:val="0"/>
            <w:vAlign w:val="center"/>
          </w:tcPr>
          <w:p>
            <w:pPr>
              <w:spacing w:line="500" w:lineRule="exact"/>
              <w:jc w:val="center"/>
              <w:rPr>
                <w:rFonts w:hint="eastAsia" w:eastAsia="仿宋_GB2312"/>
                <w:szCs w:val="21"/>
                <w:lang w:val="en-US" w:eastAsia="zh-CN"/>
              </w:rPr>
            </w:pPr>
          </w:p>
        </w:tc>
        <w:tc>
          <w:tcPr>
            <w:tcW w:w="829" w:type="dxa"/>
            <w:gridSpan w:val="2"/>
            <w:vMerge w:val="continue"/>
            <w:noWrap w:val="0"/>
            <w:vAlign w:val="center"/>
          </w:tcPr>
          <w:p>
            <w:pPr>
              <w:spacing w:line="500" w:lineRule="exact"/>
              <w:jc w:val="center"/>
              <w:rPr>
                <w:rFonts w:hint="eastAsia" w:eastAsia="仿宋_GB2312"/>
                <w:szCs w:val="21"/>
                <w:lang w:val="en-US" w:eastAsia="zh-CN"/>
              </w:rPr>
            </w:pPr>
          </w:p>
        </w:tc>
        <w:tc>
          <w:tcPr>
            <w:tcW w:w="1300"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氨氮</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0.545</w:t>
            </w:r>
          </w:p>
        </w:tc>
        <w:tc>
          <w:tcPr>
            <w:tcW w:w="784"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自动</w:t>
            </w:r>
          </w:p>
        </w:tc>
        <w:tc>
          <w:tcPr>
            <w:tcW w:w="70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2021/5/19</w:t>
            </w:r>
          </w:p>
        </w:tc>
        <w:tc>
          <w:tcPr>
            <w:tcW w:w="944"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1.56</w:t>
            </w:r>
          </w:p>
        </w:tc>
        <w:tc>
          <w:tcPr>
            <w:tcW w:w="1062" w:type="dxa"/>
            <w:gridSpan w:val="4"/>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9.63</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firstLine="630" w:firstLineChars="300"/>
              <w:jc w:val="both"/>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15</w:t>
            </w:r>
          </w:p>
        </w:tc>
        <w:tc>
          <w:tcPr>
            <w:tcW w:w="752"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53" w:type="dxa"/>
            <w:gridSpan w:val="2"/>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lang w:val="en-US" w:eastAsia="zh-CN"/>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lang w:val="en-US" w:eastAsia="zh-CN"/>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lang w:val="en-US" w:eastAsia="zh-CN"/>
              </w:rPr>
            </w:pPr>
          </w:p>
        </w:tc>
        <w:tc>
          <w:tcPr>
            <w:tcW w:w="1300"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总镍</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0.5</w:t>
            </w:r>
          </w:p>
        </w:tc>
        <w:tc>
          <w:tcPr>
            <w:tcW w:w="784"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手动</w:t>
            </w:r>
          </w:p>
        </w:tc>
        <w:tc>
          <w:tcPr>
            <w:tcW w:w="709"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2021/5/19</w:t>
            </w:r>
          </w:p>
        </w:tc>
        <w:tc>
          <w:tcPr>
            <w:tcW w:w="944"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0.031</w:t>
            </w:r>
          </w:p>
        </w:tc>
        <w:tc>
          <w:tcPr>
            <w:tcW w:w="1062"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0.083</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《电镀污染物排放标准》GB21900-2008</w:t>
            </w:r>
          </w:p>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49"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753"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6"/>
            <w:noWrap w:val="0"/>
            <w:vAlign w:val="top"/>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备注：纳管企业排放总量是以排放口排放浓度来计算。核定的排放总量是指经环保部门许可的排放量。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6"/>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20"/>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DA00</w:t>
            </w:r>
            <w:r>
              <w:rPr>
                <w:rFonts w:ascii="Times New Roman" w:hAnsi="Times New Roman" w:eastAsia="仿宋_GB2312"/>
                <w:sz w:val="24"/>
                <w:szCs w:val="24"/>
              </w:rPr>
              <w:t>1</w:t>
            </w:r>
          </w:p>
        </w:tc>
        <w:tc>
          <w:tcPr>
            <w:tcW w:w="1077" w:type="dxa"/>
            <w:gridSpan w:val="3"/>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eastAsia="仿宋_GB2312"/>
                <w:szCs w:val="21"/>
                <w:lang w:val="en-US" w:eastAsia="zh-CN"/>
              </w:rPr>
              <w:t>经度116°2′5.32″，纬度39°8′8.30″</w:t>
            </w:r>
          </w:p>
        </w:tc>
        <w:tc>
          <w:tcPr>
            <w:tcW w:w="822" w:type="dxa"/>
            <w:gridSpan w:val="2"/>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排环境</w:t>
            </w:r>
          </w:p>
        </w:tc>
        <w:tc>
          <w:tcPr>
            <w:tcW w:w="1289"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硫酸雾</w:t>
            </w:r>
          </w:p>
        </w:tc>
        <w:tc>
          <w:tcPr>
            <w:tcW w:w="938" w:type="dxa"/>
            <w:gridSpan w:val="2"/>
            <w:noWrap w:val="0"/>
            <w:vAlign w:val="center"/>
          </w:tcPr>
          <w:p>
            <w:pPr>
              <w:widowControl/>
              <w:spacing w:before="100" w:beforeAutospacing="1" w:after="100" w:afterAutospacing="1"/>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0.41</w:t>
            </w:r>
          </w:p>
        </w:tc>
        <w:tc>
          <w:tcPr>
            <w:tcW w:w="779" w:type="dxa"/>
            <w:gridSpan w:val="4"/>
            <w:noWrap w:val="0"/>
            <w:vAlign w:val="center"/>
          </w:tcPr>
          <w:p>
            <w:pPr>
              <w:widowControl/>
              <w:spacing w:before="100" w:beforeAutospacing="1" w:after="100" w:afterAutospacing="1"/>
              <w:jc w:val="left"/>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2021/4/4</w:t>
            </w:r>
          </w:p>
        </w:tc>
        <w:tc>
          <w:tcPr>
            <w:tcW w:w="704" w:type="dxa"/>
            <w:gridSpan w:val="2"/>
            <w:noWrap w:val="0"/>
            <w:vAlign w:val="center"/>
          </w:tcPr>
          <w:p>
            <w:pPr>
              <w:widowControl/>
              <w:spacing w:before="100" w:beforeAutospacing="1" w:after="100" w:afterAutospacing="1"/>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手动</w:t>
            </w:r>
          </w:p>
        </w:tc>
        <w:tc>
          <w:tcPr>
            <w:tcW w:w="938"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55"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2038" w:type="dxa"/>
            <w:gridSpan w:val="4"/>
            <w:noWrap w:val="0"/>
            <w:vAlign w:val="center"/>
          </w:tcPr>
          <w:p>
            <w:pPr>
              <w:widowControl/>
              <w:spacing w:before="100" w:beforeAutospacing="1" w:after="100" w:afterAutospacing="1"/>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widowControl/>
              <w:spacing w:before="100" w:beforeAutospacing="1" w:after="100" w:afterAutospacing="1"/>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44" w:type="dxa"/>
            <w:gridSpan w:val="2"/>
            <w:noWrap w:val="0"/>
            <w:vAlign w:val="center"/>
          </w:tcPr>
          <w:p>
            <w:pPr>
              <w:widowControl/>
              <w:spacing w:before="100" w:beforeAutospacing="1" w:after="100" w:afterAutospacing="1"/>
              <w:jc w:val="center"/>
              <w:rPr>
                <w:rFonts w:hint="eastAsia"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否</w:t>
            </w:r>
          </w:p>
        </w:tc>
        <w:tc>
          <w:tcPr>
            <w:tcW w:w="736" w:type="dxa"/>
            <w:gridSpan w:val="2"/>
            <w:noWrap w:val="0"/>
            <w:vAlign w:val="center"/>
          </w:tcPr>
          <w:p>
            <w:pPr>
              <w:widowControl/>
              <w:spacing w:before="100" w:beforeAutospacing="1" w:after="100" w:afterAutospacing="1"/>
              <w:jc w:val="center"/>
              <w:rPr>
                <w:rFonts w:ascii="Times New Roman" w:hAnsi="Times New Roman"/>
                <w:kern w:val="0"/>
                <w:sz w:val="21"/>
                <w:szCs w:val="21"/>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DA00</w:t>
            </w:r>
            <w:r>
              <w:rPr>
                <w:rFonts w:ascii="Times New Roman" w:hAnsi="Times New Roman" w:eastAsia="仿宋_GB2312"/>
                <w:sz w:val="24"/>
                <w:szCs w:val="24"/>
              </w:rPr>
              <w:t>1</w:t>
            </w:r>
          </w:p>
        </w:tc>
        <w:tc>
          <w:tcPr>
            <w:tcW w:w="1077" w:type="dxa"/>
            <w:gridSpan w:val="3"/>
            <w:noWrap w:val="0"/>
            <w:vAlign w:val="center"/>
          </w:tcPr>
          <w:p>
            <w:pPr>
              <w:spacing w:line="600" w:lineRule="exact"/>
              <w:jc w:val="center"/>
              <w:rPr>
                <w:rFonts w:hint="default" w:ascii="Times New Roman" w:hAnsi="Times New Roman" w:eastAsia="仿宋_GB2312"/>
                <w:sz w:val="18"/>
                <w:szCs w:val="18"/>
                <w:lang w:val="en-US" w:eastAsia="zh-CN"/>
              </w:rPr>
            </w:pPr>
            <w:r>
              <w:rPr>
                <w:rFonts w:hint="eastAsia" w:eastAsia="仿宋_GB2312"/>
                <w:szCs w:val="21"/>
                <w:lang w:val="en-US" w:eastAsia="zh-CN"/>
              </w:rPr>
              <w:t>经度116°2′45.49″，纬度39°8′3.88″</w:t>
            </w:r>
          </w:p>
        </w:tc>
        <w:tc>
          <w:tcPr>
            <w:tcW w:w="822" w:type="dxa"/>
            <w:gridSpan w:val="2"/>
            <w:noWrap w:val="0"/>
            <w:vAlign w:val="center"/>
          </w:tcPr>
          <w:p>
            <w:pPr>
              <w:spacing w:line="6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排环境</w:t>
            </w:r>
          </w:p>
        </w:tc>
        <w:tc>
          <w:tcPr>
            <w:tcW w:w="1289" w:type="dxa"/>
            <w:gridSpan w:val="4"/>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氯化氢</w:t>
            </w:r>
          </w:p>
        </w:tc>
        <w:tc>
          <w:tcPr>
            <w:tcW w:w="938" w:type="dxa"/>
            <w:gridSpan w:val="2"/>
            <w:noWrap w:val="0"/>
            <w:vAlign w:val="center"/>
          </w:tcPr>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1.5</w:t>
            </w:r>
          </w:p>
        </w:tc>
        <w:tc>
          <w:tcPr>
            <w:tcW w:w="779" w:type="dxa"/>
            <w:gridSpan w:val="4"/>
            <w:noWrap w:val="0"/>
            <w:vAlign w:val="top"/>
          </w:tcPr>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2020/4/7</w:t>
            </w:r>
          </w:p>
        </w:tc>
        <w:tc>
          <w:tcPr>
            <w:tcW w:w="704" w:type="dxa"/>
            <w:gridSpan w:val="2"/>
            <w:noWrap w:val="0"/>
            <w:vAlign w:val="top"/>
          </w:tcPr>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p>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手动</w:t>
            </w:r>
          </w:p>
        </w:tc>
        <w:tc>
          <w:tcPr>
            <w:tcW w:w="938"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1055" w:type="dxa"/>
            <w:gridSpan w:val="4"/>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w:t>
            </w:r>
          </w:p>
        </w:tc>
        <w:tc>
          <w:tcPr>
            <w:tcW w:w="2038" w:type="dxa"/>
            <w:gridSpan w:val="4"/>
            <w:noWrap w:val="0"/>
            <w:vAlign w:val="center"/>
          </w:tcPr>
          <w:p>
            <w:pPr>
              <w:spacing w:line="600" w:lineRule="exact"/>
              <w:jc w:val="center"/>
              <w:rPr>
                <w:rFonts w:hint="default" w:ascii="Times New Roman" w:hAnsi="Times New Roman" w:eastAsia="仿宋_GB2312"/>
                <w:sz w:val="21"/>
                <w:szCs w:val="21"/>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44" w:type="dxa"/>
            <w:gridSpan w:val="2"/>
            <w:noWrap w:val="0"/>
            <w:vAlign w:val="center"/>
          </w:tcPr>
          <w:p>
            <w:pPr>
              <w:spacing w:line="600" w:lineRule="exact"/>
              <w:jc w:val="center"/>
              <w:rPr>
                <w:rFonts w:hint="eastAsia" w:ascii="Times New Roman" w:hAnsi="Times New Roman" w:eastAsia="仿宋_GB2312"/>
                <w:sz w:val="21"/>
                <w:szCs w:val="21"/>
                <w:lang w:val="en-US" w:eastAsia="zh-CN"/>
              </w:rPr>
            </w:pPr>
            <w:r>
              <w:rPr>
                <w:rFonts w:hint="eastAsia" w:ascii="Times New Roman" w:hAnsi="Times New Roman" w:eastAsia="仿宋_GB2312"/>
                <w:sz w:val="21"/>
                <w:szCs w:val="21"/>
                <w:lang w:val="en-US" w:eastAsia="zh-CN"/>
              </w:rPr>
              <w:t>否</w:t>
            </w:r>
          </w:p>
        </w:tc>
        <w:tc>
          <w:tcPr>
            <w:tcW w:w="736" w:type="dxa"/>
            <w:gridSpan w:val="2"/>
            <w:noWrap w:val="0"/>
            <w:vAlign w:val="center"/>
          </w:tcPr>
          <w:p>
            <w:pPr>
              <w:spacing w:line="600" w:lineRule="exact"/>
              <w:jc w:val="center"/>
              <w:rPr>
                <w:rFonts w:ascii="Times New Roman" w:hAnsi="Times New Roman" w:eastAsia="仿宋_GB2312"/>
                <w:sz w:val="21"/>
                <w:szCs w:val="21"/>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7"/>
            <w:noWrap w:val="0"/>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7"/>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jc w:val="both"/>
              <w:rPr>
                <w:rFonts w:hint="default" w:eastAsia="仿宋_GB2312"/>
                <w:sz w:val="24"/>
                <w:lang w:val="en-US" w:eastAsia="zh-CN"/>
              </w:rPr>
            </w:pPr>
            <w:r>
              <w:rPr>
                <w:rFonts w:hint="eastAsia" w:eastAsia="仿宋_GB2312"/>
                <w:sz w:val="24"/>
                <w:lang w:val="en-US" w:eastAsia="zh-CN"/>
              </w:rPr>
              <w:t>电镀污泥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委托处置</w:t>
            </w:r>
          </w:p>
        </w:tc>
        <w:tc>
          <w:tcPr>
            <w:tcW w:w="2265" w:type="dxa"/>
            <w:gridSpan w:val="8"/>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21.4</w:t>
            </w:r>
          </w:p>
        </w:tc>
        <w:tc>
          <w:tcPr>
            <w:tcW w:w="1713" w:type="dxa"/>
            <w:gridSpan w:val="4"/>
            <w:noWrap w:val="0"/>
            <w:vAlign w:val="center"/>
          </w:tcPr>
          <w:p>
            <w:pPr>
              <w:widowControl/>
              <w:spacing w:before="100" w:beforeAutospacing="1" w:after="100" w:afterAutospacing="1"/>
              <w:jc w:val="center"/>
              <w:rPr>
                <w:rFonts w:hint="default" w:eastAsia="仿宋_GB2312"/>
                <w:sz w:val="24"/>
                <w:lang w:val="en-US" w:eastAsia="zh-CN"/>
              </w:rPr>
            </w:pPr>
            <w:r>
              <w:rPr>
                <w:rFonts w:hint="eastAsia" w:eastAsia="仿宋_GB2312"/>
                <w:sz w:val="24"/>
                <w:lang w:val="en-US" w:eastAsia="zh-CN"/>
              </w:rPr>
              <w:t>涞水冀东水泥有限责任公司</w:t>
            </w:r>
          </w:p>
        </w:tc>
        <w:tc>
          <w:tcPr>
            <w:tcW w:w="1696" w:type="dxa"/>
            <w:gridSpan w:val="3"/>
            <w:noWrap w:val="0"/>
            <w:vAlign w:val="center"/>
          </w:tcPr>
          <w:p>
            <w:pPr>
              <w:widowControl/>
              <w:spacing w:before="100" w:beforeAutospacing="1" w:after="100" w:afterAutospacing="1"/>
              <w:jc w:val="center"/>
              <w:rPr>
                <w:rFonts w:hint="eastAsia" w:eastAsia="仿宋_GB2312"/>
                <w:sz w:val="24"/>
                <w:lang w:val="en-US" w:eastAsia="zh-CN"/>
              </w:rPr>
            </w:pPr>
            <w:r>
              <w:rPr>
                <w:rFonts w:hint="eastAsia" w:eastAsia="仿宋_GB2312"/>
                <w:sz w:val="24"/>
                <w:lang w:val="en-US" w:eastAsia="zh-CN"/>
              </w:rPr>
              <w:t>否</w:t>
            </w:r>
          </w:p>
        </w:tc>
        <w:tc>
          <w:tcPr>
            <w:tcW w:w="1688" w:type="dxa"/>
            <w:gridSpan w:val="7"/>
            <w:noWrap w:val="0"/>
            <w:vAlign w:val="center"/>
          </w:tcPr>
          <w:p>
            <w:pPr>
              <w:widowControl/>
              <w:spacing w:before="100" w:beforeAutospacing="1" w:after="100" w:afterAutospacing="1"/>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eastAsia="仿宋_GB2312"/>
                <w:sz w:val="24"/>
              </w:rPr>
            </w:pPr>
          </w:p>
        </w:tc>
        <w:tc>
          <w:tcPr>
            <w:tcW w:w="1879" w:type="dxa"/>
            <w:gridSpan w:val="5"/>
            <w:noWrap w:val="0"/>
            <w:vAlign w:val="center"/>
          </w:tcPr>
          <w:p>
            <w:pPr>
              <w:widowControl/>
              <w:spacing w:before="100" w:beforeAutospacing="1" w:after="100" w:afterAutospacing="1"/>
              <w:ind w:left="-105"/>
              <w:jc w:val="center"/>
              <w:rPr>
                <w:rFonts w:eastAsia="仿宋_GB2312"/>
                <w:sz w:val="24"/>
              </w:rPr>
            </w:pPr>
          </w:p>
        </w:tc>
        <w:tc>
          <w:tcPr>
            <w:tcW w:w="1970" w:type="dxa"/>
            <w:gridSpan w:val="7"/>
            <w:noWrap w:val="0"/>
            <w:vAlign w:val="center"/>
          </w:tcPr>
          <w:p>
            <w:pPr>
              <w:widowControl/>
              <w:spacing w:before="100" w:beforeAutospacing="1" w:after="100" w:afterAutospacing="1"/>
              <w:ind w:left="-105"/>
              <w:jc w:val="center"/>
              <w:rPr>
                <w:rFonts w:eastAsia="仿宋_GB2312"/>
                <w:sz w:val="24"/>
              </w:rPr>
            </w:pPr>
          </w:p>
        </w:tc>
        <w:tc>
          <w:tcPr>
            <w:tcW w:w="2265" w:type="dxa"/>
            <w:gridSpan w:val="8"/>
            <w:noWrap w:val="0"/>
            <w:vAlign w:val="center"/>
          </w:tcPr>
          <w:p>
            <w:pPr>
              <w:widowControl/>
              <w:spacing w:before="100" w:beforeAutospacing="1" w:after="100" w:afterAutospacing="1"/>
              <w:ind w:left="-105"/>
              <w:jc w:val="center"/>
              <w:rPr>
                <w:rFonts w:eastAsia="仿宋_GB2312"/>
                <w:sz w:val="24"/>
              </w:rPr>
            </w:pPr>
          </w:p>
        </w:tc>
        <w:tc>
          <w:tcPr>
            <w:tcW w:w="1713" w:type="dxa"/>
            <w:gridSpan w:val="4"/>
            <w:noWrap w:val="0"/>
            <w:vAlign w:val="center"/>
          </w:tcPr>
          <w:p>
            <w:pPr>
              <w:widowControl/>
              <w:spacing w:before="100" w:beforeAutospacing="1" w:after="100" w:afterAutospacing="1"/>
              <w:jc w:val="left"/>
              <w:rPr>
                <w:rFonts w:eastAsia="仿宋_GB2312"/>
                <w:sz w:val="24"/>
              </w:rPr>
            </w:pPr>
          </w:p>
        </w:tc>
        <w:tc>
          <w:tcPr>
            <w:tcW w:w="1696" w:type="dxa"/>
            <w:gridSpan w:val="3"/>
            <w:noWrap w:val="0"/>
            <w:vAlign w:val="center"/>
          </w:tcPr>
          <w:p>
            <w:pPr>
              <w:widowControl/>
              <w:spacing w:before="100" w:beforeAutospacing="1" w:after="100" w:afterAutospacing="1"/>
              <w:jc w:val="left"/>
              <w:rPr>
                <w:rFonts w:eastAsia="仿宋_GB2312"/>
                <w:sz w:val="24"/>
              </w:rPr>
            </w:pPr>
          </w:p>
        </w:tc>
        <w:tc>
          <w:tcPr>
            <w:tcW w:w="1688" w:type="dxa"/>
            <w:gridSpan w:val="7"/>
            <w:noWrap w:val="0"/>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eastAsia="仿宋_GB2312"/>
                <w:sz w:val="24"/>
              </w:rPr>
            </w:pPr>
          </w:p>
        </w:tc>
        <w:tc>
          <w:tcPr>
            <w:tcW w:w="1879" w:type="dxa"/>
            <w:gridSpan w:val="5"/>
            <w:noWrap w:val="0"/>
            <w:vAlign w:val="center"/>
          </w:tcPr>
          <w:p>
            <w:pPr>
              <w:spacing w:line="500" w:lineRule="exact"/>
              <w:ind w:left="-105" w:leftChars="-50" w:right="-105" w:rightChars="-50"/>
              <w:jc w:val="center"/>
              <w:rPr>
                <w:rFonts w:eastAsia="仿宋_GB2312"/>
                <w:sz w:val="24"/>
              </w:rPr>
            </w:pPr>
          </w:p>
        </w:tc>
        <w:tc>
          <w:tcPr>
            <w:tcW w:w="1970" w:type="dxa"/>
            <w:gridSpan w:val="7"/>
            <w:noWrap w:val="0"/>
            <w:vAlign w:val="center"/>
          </w:tcPr>
          <w:p>
            <w:pPr>
              <w:spacing w:line="500" w:lineRule="exact"/>
              <w:ind w:left="-105" w:leftChars="-50" w:right="-105" w:rightChars="-50"/>
              <w:jc w:val="center"/>
              <w:rPr>
                <w:rFonts w:eastAsia="仿宋_GB2312"/>
                <w:sz w:val="24"/>
              </w:rPr>
            </w:pPr>
          </w:p>
        </w:tc>
        <w:tc>
          <w:tcPr>
            <w:tcW w:w="2265" w:type="dxa"/>
            <w:gridSpan w:val="8"/>
            <w:noWrap w:val="0"/>
            <w:vAlign w:val="center"/>
          </w:tcPr>
          <w:p>
            <w:pPr>
              <w:spacing w:line="500" w:lineRule="exact"/>
              <w:ind w:left="-105" w:leftChars="-50" w:right="-105" w:rightChars="-50"/>
              <w:jc w:val="center"/>
              <w:rPr>
                <w:rFonts w:eastAsia="仿宋_GB2312"/>
                <w:sz w:val="24"/>
              </w:rPr>
            </w:pPr>
          </w:p>
        </w:tc>
        <w:tc>
          <w:tcPr>
            <w:tcW w:w="1713" w:type="dxa"/>
            <w:gridSpan w:val="4"/>
            <w:noWrap w:val="0"/>
            <w:vAlign w:val="center"/>
          </w:tcPr>
          <w:p>
            <w:pPr>
              <w:spacing w:line="500" w:lineRule="exact"/>
              <w:ind w:left="-105" w:leftChars="-50" w:right="-105" w:rightChars="-50"/>
              <w:jc w:val="center"/>
              <w:rPr>
                <w:rFonts w:eastAsia="仿宋_GB2312"/>
                <w:sz w:val="24"/>
              </w:rPr>
            </w:pPr>
          </w:p>
        </w:tc>
        <w:tc>
          <w:tcPr>
            <w:tcW w:w="1696" w:type="dxa"/>
            <w:gridSpan w:val="3"/>
            <w:noWrap w:val="0"/>
            <w:vAlign w:val="center"/>
          </w:tcPr>
          <w:p>
            <w:pPr>
              <w:spacing w:line="500" w:lineRule="exact"/>
              <w:ind w:left="-105" w:leftChars="-50" w:right="-105" w:rightChars="-50"/>
              <w:jc w:val="center"/>
              <w:rPr>
                <w:rFonts w:eastAsia="仿宋_GB2312"/>
                <w:sz w:val="24"/>
              </w:rPr>
            </w:pPr>
          </w:p>
        </w:tc>
        <w:tc>
          <w:tcPr>
            <w:tcW w:w="1688" w:type="dxa"/>
            <w:gridSpan w:val="7"/>
            <w:noWrap w:val="0"/>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7"/>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10"/>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88" w:type="dxa"/>
            <w:gridSpan w:val="7"/>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0"/>
            <w:vAlign w:val="center"/>
          </w:tcPr>
          <w:p>
            <w:pPr>
              <w:widowControl/>
              <w:jc w:val="left"/>
              <w:rPr>
                <w:rFonts w:eastAsia="仿宋_GB2312"/>
                <w:color w:val="000000"/>
                <w:sz w:val="24"/>
              </w:rPr>
            </w:pPr>
          </w:p>
        </w:tc>
        <w:tc>
          <w:tcPr>
            <w:tcW w:w="1696" w:type="dxa"/>
            <w:gridSpan w:val="3"/>
            <w:vMerge w:val="continue"/>
            <w:noWrap w:val="0"/>
            <w:vAlign w:val="center"/>
          </w:tcPr>
          <w:p>
            <w:pPr>
              <w:widowControl/>
              <w:jc w:val="left"/>
              <w:rPr>
                <w:rFonts w:eastAsia="仿宋_GB2312"/>
                <w:color w:val="000000"/>
                <w:sz w:val="24"/>
              </w:rPr>
            </w:pPr>
          </w:p>
        </w:tc>
        <w:tc>
          <w:tcPr>
            <w:tcW w:w="1688" w:type="dxa"/>
            <w:gridSpan w:val="7"/>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hint="eastAsia" w:ascii="仿宋" w:hAnsi="仿宋" w:eastAsia="仿宋" w:cs="仿宋"/>
                <w:color w:val="000000"/>
                <w:sz w:val="24"/>
                <w:szCs w:val="24"/>
              </w:rPr>
            </w:pPr>
            <w:bookmarkStart w:id="0" w:name="_GoBack" w:colFirst="0" w:colLast="10"/>
            <w:r>
              <w:rPr>
                <w:rFonts w:hint="eastAsia" w:ascii="仿宋" w:hAnsi="仿宋" w:eastAsia="仿宋" w:cs="仿宋"/>
                <w:kern w:val="0"/>
                <w:sz w:val="24"/>
                <w:szCs w:val="24"/>
              </w:rPr>
              <w:t> 东</w:t>
            </w:r>
          </w:p>
        </w:tc>
        <w:tc>
          <w:tcPr>
            <w:tcW w:w="1928"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w:t>
            </w:r>
          </w:p>
        </w:tc>
        <w:tc>
          <w:tcPr>
            <w:tcW w:w="1884" w:type="dxa"/>
            <w:gridSpan w:val="5"/>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 </w:t>
            </w:r>
          </w:p>
        </w:tc>
        <w:tc>
          <w:tcPr>
            <w:tcW w:w="1217"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c>
          <w:tcPr>
            <w:tcW w:w="1707"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否</w:t>
            </w:r>
          </w:p>
        </w:tc>
        <w:tc>
          <w:tcPr>
            <w:tcW w:w="1696"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kern w:val="0"/>
                <w:sz w:val="24"/>
                <w:szCs w:val="24"/>
              </w:rPr>
              <w:t> 南</w:t>
            </w:r>
          </w:p>
        </w:tc>
        <w:tc>
          <w:tcPr>
            <w:tcW w:w="1928"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w:t>
            </w:r>
          </w:p>
        </w:tc>
        <w:tc>
          <w:tcPr>
            <w:tcW w:w="1884" w:type="dxa"/>
            <w:gridSpan w:val="5"/>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w:t>
            </w:r>
          </w:p>
        </w:tc>
        <w:tc>
          <w:tcPr>
            <w:tcW w:w="1217"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707"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否</w:t>
            </w:r>
          </w:p>
        </w:tc>
        <w:tc>
          <w:tcPr>
            <w:tcW w:w="1696"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kern w:val="0"/>
                <w:sz w:val="24"/>
                <w:szCs w:val="24"/>
              </w:rPr>
              <w:t> 西</w:t>
            </w:r>
          </w:p>
        </w:tc>
        <w:tc>
          <w:tcPr>
            <w:tcW w:w="1928"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kern w:val="0"/>
                <w:sz w:val="24"/>
                <w:szCs w:val="24"/>
                <w:lang w:val="en-US" w:eastAsia="zh-CN"/>
              </w:rPr>
              <w:t>63</w:t>
            </w:r>
            <w:r>
              <w:rPr>
                <w:rFonts w:hint="eastAsia" w:ascii="仿宋" w:hAnsi="仿宋" w:eastAsia="仿宋" w:cs="仿宋"/>
                <w:kern w:val="0"/>
                <w:sz w:val="24"/>
                <w:szCs w:val="24"/>
              </w:rPr>
              <w:t> </w:t>
            </w:r>
          </w:p>
        </w:tc>
        <w:tc>
          <w:tcPr>
            <w:tcW w:w="1884" w:type="dxa"/>
            <w:gridSpan w:val="5"/>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17"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707"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否</w:t>
            </w:r>
          </w:p>
        </w:tc>
        <w:tc>
          <w:tcPr>
            <w:tcW w:w="1696"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kern w:val="0"/>
                <w:sz w:val="24"/>
                <w:szCs w:val="24"/>
              </w:rPr>
              <w:t> 北</w:t>
            </w:r>
          </w:p>
        </w:tc>
        <w:tc>
          <w:tcPr>
            <w:tcW w:w="1928" w:type="dxa"/>
            <w:gridSpan w:val="6"/>
            <w:noWrap w:val="0"/>
            <w:vAlign w:val="center"/>
          </w:tcPr>
          <w:p>
            <w:pPr>
              <w:widowControl/>
              <w:spacing w:before="100" w:beforeAutospacing="1" w:after="100" w:afterAutospacing="1"/>
              <w:jc w:val="center"/>
              <w:rPr>
                <w:rFonts w:hint="eastAsia" w:ascii="仿宋" w:hAnsi="仿宋" w:eastAsia="仿宋" w:cs="仿宋"/>
                <w:color w:val="00000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62</w:t>
            </w:r>
          </w:p>
        </w:tc>
        <w:tc>
          <w:tcPr>
            <w:tcW w:w="1884" w:type="dxa"/>
            <w:gridSpan w:val="5"/>
            <w:noWrap w:val="0"/>
            <w:vAlign w:val="center"/>
          </w:tcPr>
          <w:p>
            <w:pPr>
              <w:widowControl/>
              <w:spacing w:before="100" w:beforeAutospacing="1" w:after="100" w:afterAutospacing="1"/>
              <w:jc w:val="center"/>
              <w:rPr>
                <w:rFonts w:hint="eastAsia" w:ascii="仿宋" w:hAnsi="仿宋" w:eastAsia="仿宋" w:cs="仿宋"/>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w:t>
            </w:r>
          </w:p>
        </w:tc>
        <w:tc>
          <w:tcPr>
            <w:tcW w:w="1217" w:type="dxa"/>
            <w:gridSpan w:val="6"/>
            <w:noWrap w:val="0"/>
            <w:vAlign w:val="center"/>
          </w:tcPr>
          <w:p>
            <w:pPr>
              <w:widowControl/>
              <w:spacing w:before="100" w:beforeAutospacing="1" w:after="100" w:afterAutospacing="1"/>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65</w:t>
            </w:r>
          </w:p>
        </w:tc>
        <w:tc>
          <w:tcPr>
            <w:tcW w:w="1091" w:type="dxa"/>
            <w:gridSpan w:val="4"/>
            <w:noWrap w:val="0"/>
            <w:vAlign w:val="center"/>
          </w:tcPr>
          <w:p>
            <w:pPr>
              <w:widowControl/>
              <w:spacing w:before="100" w:beforeAutospacing="1" w:after="100" w:afterAutospacing="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7"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否</w:t>
            </w:r>
          </w:p>
        </w:tc>
        <w:tc>
          <w:tcPr>
            <w:tcW w:w="1696" w:type="dxa"/>
            <w:gridSpan w:val="3"/>
            <w:noWrap w:val="0"/>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c>
          <w:tcPr>
            <w:tcW w:w="1688" w:type="dxa"/>
            <w:gridSpan w:val="7"/>
            <w:noWrap w:val="0"/>
            <w:vAlign w:val="center"/>
          </w:tcPr>
          <w:p>
            <w:pPr>
              <w:widowControl/>
              <w:spacing w:before="100" w:beforeAutospacing="1" w:after="100" w:afterAutospacing="1"/>
              <w:jc w:val="center"/>
              <w:rPr>
                <w:rFonts w:ascii="宋体" w:cs="宋体"/>
                <w:kern w:val="0"/>
                <w:sz w:val="24"/>
              </w:rPr>
            </w:pPr>
            <w:r>
              <w:rPr>
                <w:rFonts w:hint="eastAsia" w:eastAsia="仿宋_GB2312"/>
                <w:szCs w:val="21"/>
                <w:lang w:val="en-US" w:eastAsia="zh-CN"/>
              </w:rPr>
              <w:t>未缴纳</w:t>
            </w:r>
          </w:p>
        </w:tc>
      </w:tr>
      <w:bookmarkEnd w:id="0"/>
    </w:tbl>
    <w:p>
      <w:pPr>
        <w:spacing w:line="560" w:lineRule="exact"/>
        <w:ind w:firstLine="320" w:firstLineChars="100"/>
        <w:jc w:val="left"/>
        <w:rPr>
          <w:rFonts w:hint="eastAsia" w:eastAsia="黑体"/>
          <w:sz w:val="32"/>
          <w:szCs w:val="32"/>
        </w:rPr>
      </w:pPr>
    </w:p>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4"/>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污水处理站</w:t>
            </w:r>
          </w:p>
        </w:tc>
        <w:tc>
          <w:tcPr>
            <w:tcW w:w="1559"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2009年</w:t>
            </w:r>
          </w:p>
        </w:tc>
        <w:tc>
          <w:tcPr>
            <w:tcW w:w="1701"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80m³/天</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正常</w:t>
            </w:r>
          </w:p>
        </w:tc>
        <w:tc>
          <w:tcPr>
            <w:tcW w:w="1843"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p>
        </w:tc>
        <w:tc>
          <w:tcPr>
            <w:tcW w:w="1559"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p>
        </w:tc>
        <w:tc>
          <w:tcPr>
            <w:tcW w:w="1701"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559"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p>
        </w:tc>
        <w:tc>
          <w:tcPr>
            <w:tcW w:w="1701" w:type="dxa"/>
            <w:noWrap w:val="0"/>
            <w:vAlign w:val="center"/>
          </w:tcPr>
          <w:p>
            <w:pPr>
              <w:spacing w:line="560" w:lineRule="exact"/>
              <w:ind w:left="-105" w:leftChars="-50" w:right="-105" w:rightChars="-50"/>
              <w:jc w:val="center"/>
              <w:rPr>
                <w:rFonts w:hint="eastAsia" w:ascii="仿宋" w:hAnsi="仿宋" w:eastAsia="仿宋" w:cs="仿宋"/>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酸雾吸附塔</w:t>
            </w:r>
          </w:p>
        </w:tc>
        <w:tc>
          <w:tcPr>
            <w:tcW w:w="1559"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2017年</w:t>
            </w:r>
          </w:p>
        </w:tc>
        <w:tc>
          <w:tcPr>
            <w:tcW w:w="1701"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3000m³/h</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正常</w:t>
            </w: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center"/>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危废间</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2009年</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ascii="仿宋" w:hAnsi="仿宋" w:eastAsia="仿宋" w:cs="仿宋"/>
                <w:sz w:val="24"/>
                <w:lang w:val="en-US" w:eastAsia="zh-CN"/>
              </w:rPr>
              <w:t>20T</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正常</w:t>
            </w: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电镀污泥</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11.8857</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监测废液</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0.1247</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废滤芯</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0.006</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废酸液</w:t>
            </w:r>
          </w:p>
        </w:tc>
        <w:tc>
          <w:tcPr>
            <w:tcW w:w="1559"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ascii="仿宋" w:hAnsi="仿宋" w:eastAsia="仿宋" w:cs="仿宋"/>
                <w:sz w:val="24"/>
                <w:lang w:val="en-US" w:eastAsia="zh-CN"/>
              </w:rPr>
            </w:pPr>
            <w:r>
              <w:rPr>
                <w:rFonts w:hint="eastAsia" w:ascii="仿宋" w:hAnsi="仿宋" w:eastAsia="仿宋" w:cs="仿宋"/>
                <w:sz w:val="24"/>
                <w:lang w:val="en-US" w:eastAsia="zh-CN"/>
              </w:rPr>
              <w:t>0.0442</w:t>
            </w: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84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河北风华环保服务有限公司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4"/>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环评批复单位</w:t>
            </w: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环评批复时间</w:t>
            </w: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环评批复文号</w:t>
            </w:r>
          </w:p>
        </w:tc>
        <w:tc>
          <w:tcPr>
            <w:tcW w:w="1729"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竣工验收单位</w:t>
            </w:r>
          </w:p>
        </w:tc>
        <w:tc>
          <w:tcPr>
            <w:tcW w:w="1530"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竣工验收时间</w:t>
            </w:r>
          </w:p>
        </w:tc>
        <w:tc>
          <w:tcPr>
            <w:tcW w:w="1560"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ascii="Times New Roman" w:hAnsi="Times New Roman" w:eastAsia="仿宋_GB2312"/>
                <w:sz w:val="24"/>
                <w:szCs w:val="24"/>
                <w:lang w:val="en-US" w:eastAsia="zh-CN"/>
              </w:rPr>
              <w:t>高碑店市白沟海建五金电镀厂</w:t>
            </w:r>
          </w:p>
        </w:tc>
        <w:tc>
          <w:tcPr>
            <w:tcW w:w="2013"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保河北省环境保护局</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2004年9月15日</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冀环管[2004]223号</w:t>
            </w:r>
          </w:p>
        </w:tc>
        <w:tc>
          <w:tcPr>
            <w:tcW w:w="172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河北省环境保护局</w:t>
            </w:r>
          </w:p>
        </w:tc>
        <w:tc>
          <w:tcPr>
            <w:tcW w:w="153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2009年4月8日</w:t>
            </w:r>
          </w:p>
        </w:tc>
        <w:tc>
          <w:tcPr>
            <w:tcW w:w="156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冀环验[2009]103号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1"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729"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30" w:type="dxa"/>
            <w:noWrap w:val="0"/>
            <w:vAlign w:val="center"/>
          </w:tcPr>
          <w:p>
            <w:pPr>
              <w:widowControl/>
              <w:spacing w:before="100" w:beforeAutospacing="1" w:after="100" w:afterAutospacing="1"/>
              <w:ind w:left="-105"/>
              <w:jc w:val="center"/>
              <w:rPr>
                <w:rFonts w:hint="eastAsia" w:eastAsia="仿宋_GB2312"/>
                <w:sz w:val="24"/>
                <w:lang w:val="en-US" w:eastAsia="zh-CN"/>
              </w:rPr>
            </w:pPr>
          </w:p>
        </w:tc>
        <w:tc>
          <w:tcPr>
            <w:tcW w:w="1560" w:type="dxa"/>
            <w:noWrap w:val="0"/>
            <w:vAlign w:val="center"/>
          </w:tcPr>
          <w:p>
            <w:pPr>
              <w:widowControl/>
              <w:spacing w:before="100" w:beforeAutospacing="1" w:after="100" w:afterAutospacing="1"/>
              <w:ind w:left="-105"/>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4"/>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3474"/>
        <w:gridCol w:w="2464"/>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440"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35"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74"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无</w:t>
            </w:r>
          </w:p>
        </w:tc>
        <w:tc>
          <w:tcPr>
            <w:tcW w:w="2464"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67"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335"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105" w:type="dxa"/>
            <w:gridSpan w:val="3"/>
            <w:noWrap w:val="0"/>
            <w:vAlign w:val="center"/>
          </w:tcPr>
          <w:p>
            <w:pPr>
              <w:spacing w:line="360" w:lineRule="auto"/>
              <w:ind w:firstLine="720" w:firstLineChars="300"/>
              <w:rPr>
                <w:rFonts w:hint="eastAsia"/>
                <w:sz w:val="24"/>
              </w:rPr>
            </w:pPr>
            <w:r>
              <w:rPr>
                <w:rFonts w:hint="eastAsia"/>
                <w:sz w:val="24"/>
              </w:rPr>
              <w:t>结合本单位实际情况，制定公司级环境应急预案。同时公司内车间、</w:t>
            </w:r>
            <w:r>
              <w:rPr>
                <w:rFonts w:hint="eastAsia"/>
                <w:sz w:val="24"/>
                <w:lang w:eastAsia="zh-CN"/>
              </w:rPr>
              <w:t>危废间</w:t>
            </w:r>
            <w:r>
              <w:rPr>
                <w:rFonts w:hint="eastAsia"/>
                <w:sz w:val="24"/>
              </w:rPr>
              <w:t>分别制定相应的现场处置卡，结合公司的安全生产应急预案、用水、用电应急预案形成公司预案体系。</w:t>
            </w:r>
          </w:p>
          <w:p>
            <w:pPr>
              <w:pStyle w:val="2"/>
              <w:ind w:firstLine="4337" w:firstLineChars="1800"/>
              <w:jc w:val="both"/>
              <w:rPr>
                <w:b/>
                <w:sz w:val="24"/>
              </w:rPr>
            </w:pPr>
            <w:r>
              <w:rPr>
                <w:rFonts w:hint="eastAsia"/>
                <w:b/>
                <w:sz w:val="24"/>
              </w:rPr>
              <w:t>电镀车间现场处置</w:t>
            </w:r>
            <w:r>
              <w:rPr>
                <w:b/>
                <w:sz w:val="24"/>
              </w:rPr>
              <w:t>卡</w:t>
            </w:r>
          </w:p>
          <w:tbl>
            <w:tblPr>
              <w:tblStyle w:val="14"/>
              <w:tblW w:w="11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8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156" w:type="dxa"/>
                  <w:noWrap w:val="0"/>
                  <w:vAlign w:val="center"/>
                </w:tcPr>
                <w:p>
                  <w:pPr>
                    <w:jc w:val="center"/>
                    <w:rPr>
                      <w:rFonts w:hint="eastAsia"/>
                      <w:szCs w:val="21"/>
                    </w:rPr>
                  </w:pPr>
                  <w:r>
                    <w:rPr>
                      <w:rFonts w:hint="eastAsia"/>
                      <w:szCs w:val="21"/>
                    </w:rPr>
                    <w:t>风险提示</w:t>
                  </w:r>
                </w:p>
              </w:tc>
              <w:tc>
                <w:tcPr>
                  <w:tcW w:w="8803" w:type="dxa"/>
                  <w:noWrap w:val="0"/>
                  <w:vAlign w:val="top"/>
                </w:tcPr>
                <w:p>
                  <w:pPr>
                    <w:pStyle w:val="2"/>
                    <w:jc w:val="both"/>
                    <w:rPr>
                      <w:rFonts w:hint="eastAsia" w:ascii="Times New Roman"/>
                      <w:color w:val="auto"/>
                      <w:sz w:val="21"/>
                      <w:szCs w:val="21"/>
                    </w:rPr>
                  </w:pPr>
                  <w:r>
                    <w:rPr>
                      <w:rFonts w:hint="eastAsia" w:ascii="Times New Roman"/>
                      <w:color w:val="auto"/>
                      <w:sz w:val="21"/>
                      <w:szCs w:val="21"/>
                    </w:rPr>
                    <w:t>泄露</w:t>
                  </w:r>
                  <w:r>
                    <w:rPr>
                      <w:rFonts w:ascii="Times New Roman"/>
                      <w:color w:val="auto"/>
                      <w:sz w:val="21"/>
                      <w:szCs w:val="21"/>
                    </w:rPr>
                    <w:t>：</w:t>
                  </w:r>
                  <w:r>
                    <w:rPr>
                      <w:rFonts w:hint="eastAsia" w:ascii="Times New Roman"/>
                      <w:color w:val="auto"/>
                      <w:sz w:val="21"/>
                      <w:szCs w:val="21"/>
                    </w:rPr>
                    <w:t>电镀槽发生</w:t>
                  </w:r>
                  <w:r>
                    <w:rPr>
                      <w:rFonts w:ascii="Times New Roman"/>
                      <w:color w:val="auto"/>
                      <w:sz w:val="21"/>
                      <w:szCs w:val="21"/>
                    </w:rPr>
                    <w:t>泄露</w:t>
                  </w:r>
                  <w:r>
                    <w:rPr>
                      <w:rFonts w:hint="eastAsia" w:ascii="Times New Roman"/>
                      <w:color w:val="auto"/>
                      <w:sz w:val="21"/>
                      <w:szCs w:val="21"/>
                    </w:rPr>
                    <w:t>，</w:t>
                  </w:r>
                  <w:r>
                    <w:rPr>
                      <w:rFonts w:ascii="Times New Roman"/>
                      <w:color w:val="auto"/>
                      <w:sz w:val="21"/>
                      <w:szCs w:val="21"/>
                    </w:rPr>
                    <w:t>污染</w:t>
                  </w:r>
                  <w:r>
                    <w:rPr>
                      <w:rFonts w:hint="eastAsia" w:ascii="Times New Roman"/>
                      <w:color w:val="auto"/>
                      <w:sz w:val="21"/>
                      <w:szCs w:val="21"/>
                    </w:rPr>
                    <w:t>土壤及</w:t>
                  </w:r>
                  <w:r>
                    <w:rPr>
                      <w:rFonts w:ascii="Times New Roman"/>
                      <w:color w:val="auto"/>
                      <w:sz w:val="21"/>
                      <w:szCs w:val="21"/>
                    </w:rPr>
                    <w:t>地下水</w:t>
                  </w:r>
                </w:p>
                <w:p>
                  <w:pPr>
                    <w:pStyle w:val="2"/>
                    <w:jc w:val="both"/>
                    <w:rPr>
                      <w:rFonts w:hint="eastAsia" w:ascii="Times New Roman"/>
                      <w:color w:val="auto"/>
                      <w:sz w:val="21"/>
                      <w:szCs w:val="21"/>
                    </w:rPr>
                  </w:pPr>
                  <w:r>
                    <w:rPr>
                      <w:rFonts w:hint="eastAsia" w:ascii="Times New Roman"/>
                      <w:color w:val="auto"/>
                      <w:sz w:val="21"/>
                      <w:szCs w:val="21"/>
                    </w:rPr>
                    <w:t>处理设施</w:t>
                  </w:r>
                  <w:r>
                    <w:rPr>
                      <w:rFonts w:ascii="Times New Roman"/>
                      <w:color w:val="auto"/>
                      <w:sz w:val="21"/>
                      <w:szCs w:val="21"/>
                    </w:rPr>
                    <w:t>运行异常：</w:t>
                  </w:r>
                  <w:r>
                    <w:rPr>
                      <w:rFonts w:hint="eastAsia" w:ascii="Times New Roman"/>
                      <w:color w:val="auto"/>
                      <w:sz w:val="21"/>
                      <w:szCs w:val="21"/>
                    </w:rPr>
                    <w:t>废水处理设施运行异常，</w:t>
                  </w:r>
                  <w:r>
                    <w:rPr>
                      <w:rFonts w:ascii="Times New Roman"/>
                      <w:color w:val="auto"/>
                      <w:sz w:val="21"/>
                      <w:szCs w:val="21"/>
                    </w:rPr>
                    <w:t>废水直接排放，对白沟污水处理厂造成冲击</w:t>
                  </w:r>
                  <w:r>
                    <w:rPr>
                      <w:rFonts w:hint="eastAsia" w:ascii="Times New Roman"/>
                      <w:color w:val="auto"/>
                      <w:sz w:val="21"/>
                      <w:szCs w:val="21"/>
                    </w:rPr>
                    <w:t>；</w:t>
                  </w:r>
                  <w:r>
                    <w:rPr>
                      <w:rFonts w:ascii="Times New Roman"/>
                      <w:color w:val="auto"/>
                      <w:sz w:val="21"/>
                      <w:szCs w:val="21"/>
                    </w:rPr>
                    <w:t>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3156" w:type="dxa"/>
                  <w:noWrap w:val="0"/>
                  <w:vAlign w:val="center"/>
                </w:tcPr>
                <w:p>
                  <w:pPr>
                    <w:jc w:val="center"/>
                    <w:rPr>
                      <w:rFonts w:hint="eastAsia"/>
                      <w:szCs w:val="21"/>
                    </w:rPr>
                  </w:pPr>
                  <w:r>
                    <w:rPr>
                      <w:rFonts w:hint="eastAsia"/>
                      <w:szCs w:val="21"/>
                    </w:rPr>
                    <w:t>应急处置</w:t>
                  </w:r>
                </w:p>
              </w:tc>
              <w:tc>
                <w:tcPr>
                  <w:tcW w:w="8803" w:type="dxa"/>
                  <w:noWrap w:val="0"/>
                  <w:vAlign w:val="top"/>
                </w:tcPr>
                <w:p>
                  <w:pPr>
                    <w:pStyle w:val="2"/>
                    <w:jc w:val="both"/>
                    <w:rPr>
                      <w:rFonts w:ascii="Times New Roman"/>
                      <w:color w:val="auto"/>
                      <w:sz w:val="21"/>
                      <w:szCs w:val="21"/>
                    </w:rPr>
                  </w:pPr>
                  <w:r>
                    <w:rPr>
                      <w:rFonts w:hint="eastAsia" w:ascii="Times New Roman"/>
                      <w:color w:val="auto"/>
                      <w:sz w:val="21"/>
                      <w:szCs w:val="21"/>
                    </w:rPr>
                    <w:t>泄露</w:t>
                  </w:r>
                  <w:r>
                    <w:rPr>
                      <w:rFonts w:ascii="Times New Roman"/>
                      <w:color w:val="auto"/>
                      <w:sz w:val="21"/>
                      <w:szCs w:val="21"/>
                    </w:rPr>
                    <w:t>：</w:t>
                  </w:r>
                  <w:r>
                    <w:rPr>
                      <w:rFonts w:hint="eastAsia" w:ascii="Times New Roman"/>
                      <w:color w:val="auto"/>
                      <w:sz w:val="21"/>
                      <w:szCs w:val="21"/>
                    </w:rPr>
                    <w:t>硫酸、硼酸泄漏时可用砂土、干燥石灰或苏打灰混合覆盖；</w:t>
                  </w:r>
                  <w:r>
                    <w:rPr>
                      <w:rFonts w:ascii="Times New Roman"/>
                      <w:color w:val="auto"/>
                      <w:sz w:val="21"/>
                      <w:szCs w:val="21"/>
                    </w:rPr>
                    <w:t>硫酸镍、氯化镍</w:t>
                  </w:r>
                  <w:r>
                    <w:rPr>
                      <w:rFonts w:hint="eastAsia" w:ascii="Times New Roman"/>
                      <w:color w:val="auto"/>
                      <w:sz w:val="21"/>
                      <w:szCs w:val="21"/>
                    </w:rPr>
                    <w:t>等少量泄露时</w:t>
                  </w:r>
                  <w:r>
                    <w:rPr>
                      <w:rFonts w:ascii="Times New Roman"/>
                      <w:color w:val="auto"/>
                      <w:sz w:val="21"/>
                      <w:szCs w:val="21"/>
                    </w:rPr>
                    <w:t>用大量水冲洗，废水收集至废</w:t>
                  </w:r>
                  <w:r>
                    <w:rPr>
                      <w:rFonts w:hint="eastAsia" w:ascii="Times New Roman"/>
                      <w:color w:val="auto"/>
                      <w:sz w:val="21"/>
                      <w:szCs w:val="21"/>
                    </w:rPr>
                    <w:t>水</w:t>
                  </w:r>
                  <w:r>
                    <w:rPr>
                      <w:rFonts w:ascii="Times New Roman"/>
                      <w:color w:val="auto"/>
                      <w:sz w:val="21"/>
                      <w:szCs w:val="21"/>
                    </w:rPr>
                    <w:t>处理设施</w:t>
                  </w:r>
                  <w:r>
                    <w:rPr>
                      <w:rFonts w:hint="eastAsia" w:ascii="Times New Roman"/>
                      <w:color w:val="auto"/>
                      <w:sz w:val="21"/>
                      <w:szCs w:val="21"/>
                    </w:rPr>
                    <w:t>，</w:t>
                  </w:r>
                  <w:r>
                    <w:rPr>
                      <w:rFonts w:ascii="Times New Roman"/>
                      <w:color w:val="auto"/>
                      <w:sz w:val="21"/>
                      <w:szCs w:val="21"/>
                    </w:rPr>
                    <w:t>大量</w:t>
                  </w:r>
                  <w:r>
                    <w:rPr>
                      <w:rFonts w:hint="eastAsia" w:ascii="Times New Roman"/>
                      <w:color w:val="auto"/>
                      <w:sz w:val="21"/>
                      <w:szCs w:val="21"/>
                    </w:rPr>
                    <w:t>泄漏时</w:t>
                  </w:r>
                  <w:r>
                    <w:rPr>
                      <w:rFonts w:ascii="Times New Roman"/>
                      <w:color w:val="auto"/>
                      <w:sz w:val="21"/>
                      <w:szCs w:val="21"/>
                    </w:rPr>
                    <w:t>收集至危废间</w:t>
                  </w:r>
                  <w:r>
                    <w:rPr>
                      <w:rFonts w:hint="eastAsia" w:ascii="Times New Roman"/>
                      <w:color w:val="auto"/>
                      <w:sz w:val="21"/>
                      <w:szCs w:val="21"/>
                    </w:rPr>
                    <w:t>，</w:t>
                  </w:r>
                  <w:r>
                    <w:rPr>
                      <w:rFonts w:ascii="Times New Roman"/>
                      <w:color w:val="auto"/>
                      <w:sz w:val="21"/>
                      <w:szCs w:val="21"/>
                    </w:rPr>
                    <w:t>然后再冲洗处置。</w:t>
                  </w:r>
                </w:p>
                <w:p>
                  <w:pPr>
                    <w:pStyle w:val="2"/>
                    <w:jc w:val="both"/>
                    <w:rPr>
                      <w:rFonts w:ascii="Times New Roman"/>
                      <w:color w:val="auto"/>
                      <w:sz w:val="21"/>
                      <w:szCs w:val="21"/>
                    </w:rPr>
                  </w:pPr>
                  <w:r>
                    <w:rPr>
                      <w:rFonts w:hint="eastAsia" w:ascii="Times New Roman"/>
                      <w:color w:val="auto"/>
                      <w:sz w:val="21"/>
                      <w:szCs w:val="21"/>
                    </w:rPr>
                    <w:t>处理设施</w:t>
                  </w:r>
                  <w:r>
                    <w:rPr>
                      <w:rFonts w:ascii="Times New Roman"/>
                      <w:color w:val="auto"/>
                      <w:sz w:val="21"/>
                      <w:szCs w:val="21"/>
                    </w:rPr>
                    <w:t>运行异常：</w:t>
                  </w:r>
                  <w:r>
                    <w:rPr>
                      <w:rFonts w:hint="eastAsia" w:ascii="Times New Roman"/>
                      <w:color w:val="auto"/>
                      <w:sz w:val="21"/>
                      <w:szCs w:val="21"/>
                    </w:rPr>
                    <w:t>首先停止各</w:t>
                  </w:r>
                  <w:r>
                    <w:rPr>
                      <w:rFonts w:ascii="Times New Roman"/>
                      <w:color w:val="auto"/>
                      <w:sz w:val="21"/>
                      <w:szCs w:val="21"/>
                    </w:rPr>
                    <w:t>车间排放口，</w:t>
                  </w:r>
                  <w:r>
                    <w:rPr>
                      <w:rFonts w:hint="eastAsia" w:ascii="Times New Roman"/>
                      <w:color w:val="auto"/>
                      <w:sz w:val="21"/>
                      <w:szCs w:val="21"/>
                    </w:rPr>
                    <w:t>然后停止厂区排放口</w:t>
                  </w:r>
                  <w:r>
                    <w:rPr>
                      <w:rFonts w:ascii="Times New Roman"/>
                      <w:color w:val="auto"/>
                      <w:sz w:val="21"/>
                      <w:szCs w:val="21"/>
                    </w:rPr>
                    <w:t>排水</w:t>
                  </w:r>
                  <w:r>
                    <w:rPr>
                      <w:rFonts w:hint="eastAsia" w:ascii="Times New Roman"/>
                      <w:color w:val="auto"/>
                      <w:sz w:val="21"/>
                      <w:szCs w:val="21"/>
                    </w:rPr>
                    <w:t>，</w:t>
                  </w:r>
                  <w:r>
                    <w:rPr>
                      <w:rFonts w:ascii="Times New Roman"/>
                      <w:color w:val="auto"/>
                      <w:sz w:val="21"/>
                      <w:szCs w:val="21"/>
                    </w:rPr>
                    <w:t>设备抢修人员对设备进行维修，确保运行正常后方可正常生产</w:t>
                  </w:r>
                </w:p>
                <w:p>
                  <w:pPr>
                    <w:pStyle w:val="2"/>
                    <w:rPr>
                      <w:rFonts w:hint="eastAsia" w:ascii="Times New Roman"/>
                      <w:color w:val="auto"/>
                      <w:sz w:val="21"/>
                      <w:szCs w:val="21"/>
                    </w:rPr>
                  </w:pPr>
                  <w:r>
                    <w:rPr>
                      <w:rFonts w:hint="eastAsia" w:ascii="Times New Roman"/>
                      <w:color w:val="auto"/>
                      <w:sz w:val="21"/>
                      <w:szCs w:val="21"/>
                    </w:rPr>
                    <w:t>1、发现事故隐患及时向总指挥报告</w:t>
                  </w:r>
                </w:p>
                <w:p>
                  <w:pPr>
                    <w:pStyle w:val="2"/>
                    <w:rPr>
                      <w:rFonts w:hint="eastAsia" w:ascii="Times New Roman"/>
                      <w:color w:val="auto"/>
                      <w:sz w:val="21"/>
                      <w:szCs w:val="21"/>
                    </w:rPr>
                  </w:pPr>
                  <w:r>
                    <w:rPr>
                      <w:rFonts w:hint="eastAsia" w:ascii="Times New Roman"/>
                      <w:color w:val="auto"/>
                      <w:sz w:val="21"/>
                      <w:szCs w:val="21"/>
                    </w:rPr>
                    <w:t>2、如能自行处理，根据现场泄漏情况，制定堵漏方案，立即按照堵漏方式实施</w:t>
                  </w:r>
                </w:p>
                <w:p>
                  <w:pPr>
                    <w:pStyle w:val="2"/>
                    <w:rPr>
                      <w:rFonts w:hint="eastAsia" w:ascii="Times New Roman"/>
                      <w:color w:val="auto"/>
                      <w:sz w:val="21"/>
                      <w:szCs w:val="21"/>
                    </w:rPr>
                  </w:pPr>
                  <w:r>
                    <w:rPr>
                      <w:rFonts w:hint="eastAsia" w:ascii="Times New Roman"/>
                      <w:color w:val="auto"/>
                      <w:sz w:val="21"/>
                      <w:szCs w:val="21"/>
                    </w:rPr>
                    <w:t>3、如不能自行处理，向总指挥报告后按总指挥要求启动应急预案，进行应急救援</w:t>
                  </w:r>
                </w:p>
                <w:p>
                  <w:pPr>
                    <w:pStyle w:val="2"/>
                    <w:jc w:val="both"/>
                    <w:rPr>
                      <w:rFonts w:hint="eastAsia" w:ascii="Times New Roman"/>
                      <w:color w:val="auto"/>
                      <w:sz w:val="21"/>
                      <w:szCs w:val="21"/>
                    </w:rPr>
                  </w:pPr>
                  <w:r>
                    <w:rPr>
                      <w:rFonts w:hint="eastAsia" w:ascii="Times New Roman"/>
                      <w:color w:val="auto"/>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56" w:type="dxa"/>
                  <w:noWrap w:val="0"/>
                  <w:vAlign w:val="center"/>
                </w:tcPr>
                <w:p>
                  <w:pPr>
                    <w:jc w:val="center"/>
                    <w:rPr>
                      <w:rFonts w:hint="eastAsia"/>
                      <w:szCs w:val="21"/>
                    </w:rPr>
                  </w:pPr>
                  <w:r>
                    <w:rPr>
                      <w:rFonts w:hint="eastAsia"/>
                      <w:szCs w:val="21"/>
                    </w:rPr>
                    <w:t>负责人</w:t>
                  </w:r>
                </w:p>
              </w:tc>
              <w:tc>
                <w:tcPr>
                  <w:tcW w:w="8803" w:type="dxa"/>
                  <w:noWrap w:val="0"/>
                  <w:vAlign w:val="center"/>
                </w:tcPr>
                <w:p>
                  <w:pPr>
                    <w:jc w:val="left"/>
                    <w:rPr>
                      <w:rFonts w:hint="eastAsia" w:eastAsia="宋体"/>
                      <w:color w:val="000000"/>
                      <w:szCs w:val="21"/>
                      <w:lang w:val="en-US" w:eastAsia="zh-CN"/>
                    </w:rPr>
                  </w:pPr>
                  <w:r>
                    <w:rPr>
                      <w:rFonts w:hint="eastAsia"/>
                      <w:color w:val="000000"/>
                      <w:szCs w:val="21"/>
                      <w:lang w:val="en-US" w:eastAsia="zh-CN"/>
                    </w:rPr>
                    <w:t>张帅</w:t>
                  </w:r>
                </w:p>
              </w:tc>
            </w:tr>
          </w:tbl>
          <w:p>
            <w:pPr>
              <w:pStyle w:val="12"/>
              <w:widowControl/>
              <w:tabs>
                <w:tab w:val="right" w:leader="dot" w:pos="8505"/>
              </w:tabs>
              <w:spacing w:before="120" w:beforeLines="50" w:after="120" w:afterLines="50" w:line="360" w:lineRule="auto"/>
              <w:ind w:left="0" w:leftChars="0" w:firstLine="4096" w:firstLineChars="1700"/>
              <w:jc w:val="both"/>
              <w:rPr>
                <w:b/>
                <w:sz w:val="24"/>
              </w:rPr>
            </w:pPr>
            <w:r>
              <w:rPr>
                <w:rFonts w:hint="eastAsia"/>
                <w:b/>
                <w:sz w:val="24"/>
              </w:rPr>
              <w:t>危废间现场处置卡</w:t>
            </w:r>
          </w:p>
          <w:tbl>
            <w:tblPr>
              <w:tblStyle w:val="14"/>
              <w:tblW w:w="11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125" w:type="dxa"/>
                  <w:noWrap w:val="0"/>
                  <w:vAlign w:val="center"/>
                </w:tcPr>
                <w:p>
                  <w:pPr>
                    <w:jc w:val="center"/>
                    <w:rPr>
                      <w:rFonts w:hint="eastAsia"/>
                      <w:szCs w:val="21"/>
                    </w:rPr>
                  </w:pPr>
                  <w:r>
                    <w:rPr>
                      <w:rFonts w:hint="eastAsia"/>
                      <w:szCs w:val="21"/>
                    </w:rPr>
                    <w:t>风险提示</w:t>
                  </w:r>
                </w:p>
              </w:tc>
              <w:tc>
                <w:tcPr>
                  <w:tcW w:w="8714" w:type="dxa"/>
                  <w:noWrap w:val="0"/>
                  <w:vAlign w:val="top"/>
                </w:tcPr>
                <w:p>
                  <w:pPr>
                    <w:pStyle w:val="2"/>
                    <w:jc w:val="both"/>
                    <w:rPr>
                      <w:rFonts w:hint="eastAsia" w:ascii="Times New Roman"/>
                      <w:color w:val="auto"/>
                      <w:sz w:val="21"/>
                      <w:szCs w:val="21"/>
                    </w:rPr>
                  </w:pPr>
                  <w:r>
                    <w:rPr>
                      <w:rFonts w:hint="eastAsia" w:ascii="Times New Roman"/>
                      <w:color w:val="auto"/>
                      <w:sz w:val="21"/>
                      <w:szCs w:val="21"/>
                    </w:rPr>
                    <w:t>泄露：</w:t>
                  </w:r>
                  <w:r>
                    <w:rPr>
                      <w:rFonts w:hint="eastAsia"/>
                      <w:sz w:val="21"/>
                      <w:szCs w:val="21"/>
                    </w:rPr>
                    <w:t>生产废液、废渣</w:t>
                  </w:r>
                  <w:r>
                    <w:rPr>
                      <w:rFonts w:ascii="Times New Roman"/>
                      <w:color w:val="auto"/>
                      <w:sz w:val="21"/>
                      <w:szCs w:val="21"/>
                    </w:rPr>
                    <w:t>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125" w:type="dxa"/>
                  <w:noWrap w:val="0"/>
                  <w:vAlign w:val="center"/>
                </w:tcPr>
                <w:p>
                  <w:pPr>
                    <w:jc w:val="center"/>
                    <w:rPr>
                      <w:rFonts w:hint="eastAsia"/>
                      <w:szCs w:val="21"/>
                    </w:rPr>
                  </w:pPr>
                  <w:r>
                    <w:rPr>
                      <w:rFonts w:hint="eastAsia"/>
                      <w:szCs w:val="21"/>
                    </w:rPr>
                    <w:t>应急处置</w:t>
                  </w:r>
                </w:p>
              </w:tc>
              <w:tc>
                <w:tcPr>
                  <w:tcW w:w="8714" w:type="dxa"/>
                  <w:noWrap w:val="0"/>
                  <w:vAlign w:val="top"/>
                </w:tcPr>
                <w:p>
                  <w:pPr>
                    <w:pStyle w:val="2"/>
                    <w:jc w:val="both"/>
                    <w:rPr>
                      <w:rFonts w:ascii="Times New Roman"/>
                      <w:color w:val="auto"/>
                      <w:sz w:val="21"/>
                      <w:szCs w:val="21"/>
                    </w:rPr>
                  </w:pPr>
                  <w:r>
                    <w:rPr>
                      <w:rFonts w:hint="eastAsia" w:ascii="Times New Roman"/>
                      <w:color w:val="auto"/>
                      <w:sz w:val="21"/>
                      <w:szCs w:val="21"/>
                    </w:rPr>
                    <w:t>泄漏时可用砂土、干燥石灰或苏打灰混合覆盖，</w:t>
                  </w:r>
                  <w:r>
                    <w:rPr>
                      <w:rFonts w:ascii="Times New Roman"/>
                      <w:color w:val="auto"/>
                      <w:sz w:val="21"/>
                      <w:szCs w:val="21"/>
                    </w:rPr>
                    <w:t>回收或运至废物处置场所。</w:t>
                  </w:r>
                </w:p>
                <w:p>
                  <w:pPr>
                    <w:pStyle w:val="2"/>
                    <w:rPr>
                      <w:rFonts w:hint="eastAsia" w:ascii="Times New Roman"/>
                      <w:color w:val="auto"/>
                      <w:sz w:val="21"/>
                      <w:szCs w:val="21"/>
                    </w:rPr>
                  </w:pPr>
                  <w:r>
                    <w:rPr>
                      <w:rFonts w:hint="eastAsia" w:ascii="Times New Roman"/>
                      <w:color w:val="auto"/>
                      <w:sz w:val="21"/>
                      <w:szCs w:val="21"/>
                    </w:rPr>
                    <w:t>1、发现事故隐患及时向总指挥（何海霞：13722209936）报告</w:t>
                  </w:r>
                </w:p>
                <w:p>
                  <w:pPr>
                    <w:pStyle w:val="2"/>
                    <w:rPr>
                      <w:rFonts w:hint="eastAsia" w:ascii="Times New Roman"/>
                      <w:color w:val="auto"/>
                      <w:sz w:val="21"/>
                      <w:szCs w:val="21"/>
                    </w:rPr>
                  </w:pPr>
                  <w:r>
                    <w:rPr>
                      <w:rFonts w:hint="eastAsia" w:ascii="Times New Roman"/>
                      <w:color w:val="auto"/>
                      <w:sz w:val="21"/>
                      <w:szCs w:val="21"/>
                    </w:rPr>
                    <w:t>2、如能自行处理，根据现场泄漏情况，制定堵漏方案，立即按照堵漏方式实施</w:t>
                  </w:r>
                </w:p>
                <w:p>
                  <w:pPr>
                    <w:pStyle w:val="2"/>
                    <w:rPr>
                      <w:rFonts w:hint="eastAsia" w:ascii="Times New Roman"/>
                      <w:color w:val="auto"/>
                      <w:sz w:val="21"/>
                      <w:szCs w:val="21"/>
                    </w:rPr>
                  </w:pPr>
                  <w:r>
                    <w:rPr>
                      <w:rFonts w:hint="eastAsia" w:ascii="Times New Roman"/>
                      <w:color w:val="auto"/>
                      <w:sz w:val="21"/>
                      <w:szCs w:val="21"/>
                    </w:rPr>
                    <w:t>3、如不能自行处理，向总指挥报告后按总指挥要求启动应急预案，进行应急救援</w:t>
                  </w:r>
                </w:p>
                <w:p>
                  <w:pPr>
                    <w:pStyle w:val="2"/>
                    <w:jc w:val="both"/>
                    <w:rPr>
                      <w:rFonts w:hint="eastAsia" w:ascii="Times New Roman"/>
                      <w:color w:val="auto"/>
                      <w:sz w:val="21"/>
                      <w:szCs w:val="21"/>
                    </w:rPr>
                  </w:pPr>
                  <w:r>
                    <w:rPr>
                      <w:rFonts w:hint="eastAsia" w:ascii="Times New Roman"/>
                      <w:color w:val="auto"/>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125" w:type="dxa"/>
                  <w:noWrap w:val="0"/>
                  <w:vAlign w:val="center"/>
                </w:tcPr>
                <w:p>
                  <w:pPr>
                    <w:jc w:val="center"/>
                    <w:rPr>
                      <w:rFonts w:hint="eastAsia"/>
                      <w:szCs w:val="21"/>
                    </w:rPr>
                  </w:pPr>
                  <w:r>
                    <w:rPr>
                      <w:rFonts w:hint="eastAsia"/>
                      <w:szCs w:val="21"/>
                    </w:rPr>
                    <w:t>负责人</w:t>
                  </w:r>
                </w:p>
              </w:tc>
              <w:tc>
                <w:tcPr>
                  <w:tcW w:w="8714" w:type="dxa"/>
                  <w:noWrap w:val="0"/>
                  <w:vAlign w:val="center"/>
                </w:tcPr>
                <w:p>
                  <w:pPr>
                    <w:jc w:val="left"/>
                    <w:rPr>
                      <w:rFonts w:hint="eastAsia" w:eastAsia="宋体"/>
                      <w:color w:val="000000"/>
                      <w:szCs w:val="21"/>
                      <w:lang w:eastAsia="zh-CN"/>
                    </w:rPr>
                  </w:pPr>
                  <w:r>
                    <w:rPr>
                      <w:rFonts w:hint="eastAsia"/>
                      <w:color w:val="000000"/>
                      <w:szCs w:val="21"/>
                      <w:lang w:eastAsia="zh-CN"/>
                    </w:rPr>
                    <w:t>朱彬</w:t>
                  </w:r>
                </w:p>
              </w:tc>
            </w:tr>
          </w:tbl>
          <w:p>
            <w:pPr>
              <w:spacing w:line="360" w:lineRule="auto"/>
              <w:ind w:firstLine="480" w:firstLineChars="200"/>
              <w:rPr>
                <w:rFonts w:hint="eastAsia"/>
                <w:sz w:val="24"/>
              </w:rPr>
            </w:pPr>
          </w:p>
          <w:p>
            <w:pPr>
              <w:spacing w:line="560" w:lineRule="exact"/>
              <w:ind w:right="-105" w:rightChars="-50"/>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jc w:val="center"/>
        </w:trPr>
        <w:tc>
          <w:tcPr>
            <w:tcW w:w="1388"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591" w:type="dxa"/>
            <w:noWrap w:val="0"/>
            <w:vAlign w:val="center"/>
          </w:tcPr>
          <w:p>
            <w:pPr>
              <w:pStyle w:val="34"/>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560" w:firstLineChars="200"/>
              <w:jc w:val="both"/>
              <w:rPr>
                <w:rFonts w:ascii="宋体" w:hAnsi="宋体" w:cs="宋体"/>
                <w:color w:val="auto"/>
                <w:sz w:val="24"/>
              </w:rPr>
            </w:pPr>
            <w:r>
              <w:rPr>
                <w:rFonts w:hint="eastAsia"/>
                <w:color w:val="auto"/>
                <w:spacing w:val="20"/>
                <w:sz w:val="24"/>
                <w:szCs w:val="24"/>
                <w:lang w:eastAsia="zh-CN"/>
              </w:rPr>
              <w:t>高碑店市白沟海建五金电镀厂</w:t>
            </w:r>
            <w:r>
              <w:rPr>
                <w:rFonts w:hint="eastAsia"/>
                <w:color w:val="auto"/>
                <w:spacing w:val="20"/>
                <w:sz w:val="24"/>
                <w:szCs w:val="24"/>
              </w:rPr>
              <w:t>200</w:t>
            </w:r>
            <w:r>
              <w:rPr>
                <w:rFonts w:hint="eastAsia"/>
                <w:color w:val="auto"/>
                <w:spacing w:val="20"/>
                <w:sz w:val="24"/>
                <w:szCs w:val="24"/>
                <w:lang w:val="en-US" w:eastAsia="zh-CN"/>
              </w:rPr>
              <w:t>4</w:t>
            </w:r>
            <w:r>
              <w:rPr>
                <w:rFonts w:hint="eastAsia"/>
                <w:color w:val="auto"/>
                <w:spacing w:val="20"/>
                <w:sz w:val="24"/>
                <w:szCs w:val="24"/>
              </w:rPr>
              <w:t>年</w:t>
            </w:r>
            <w:r>
              <w:rPr>
                <w:rFonts w:hint="eastAsia"/>
                <w:color w:val="auto"/>
                <w:spacing w:val="20"/>
                <w:sz w:val="24"/>
                <w:szCs w:val="24"/>
                <w:lang w:eastAsia="zh-CN"/>
              </w:rPr>
              <w:t>，位于高碑店市白沟镇新工业园区内</w:t>
            </w:r>
            <w:r>
              <w:rPr>
                <w:rFonts w:hint="eastAsia"/>
                <w:color w:val="auto"/>
                <w:spacing w:val="20"/>
                <w:sz w:val="28"/>
                <w:szCs w:val="28"/>
                <w:lang w:eastAsia="zh-CN"/>
              </w:rPr>
              <w:t>，</w:t>
            </w:r>
            <w:r>
              <w:rPr>
                <w:rFonts w:hint="eastAsia" w:ascii="宋体" w:hAnsi="宋体" w:cs="宋体"/>
                <w:color w:val="auto"/>
                <w:sz w:val="24"/>
              </w:rPr>
              <w:t>是一家以加工箱包五金配件表面处理为主的企业，公司目前年产</w:t>
            </w:r>
            <w:r>
              <w:rPr>
                <w:rFonts w:hint="eastAsia" w:ascii="宋体" w:hAnsi="宋体" w:cs="宋体"/>
                <w:color w:val="auto"/>
                <w:sz w:val="24"/>
                <w:lang w:val="en-US" w:eastAsia="zh-CN"/>
              </w:rPr>
              <w:t>150吨</w:t>
            </w:r>
            <w:r>
              <w:rPr>
                <w:rFonts w:hint="eastAsia" w:ascii="宋体" w:hAnsi="宋体" w:cs="宋体"/>
                <w:color w:val="auto"/>
                <w:sz w:val="24"/>
              </w:rPr>
              <w:t>五金</w:t>
            </w:r>
            <w:r>
              <w:rPr>
                <w:rFonts w:hint="eastAsia" w:ascii="宋体" w:hAnsi="宋体" w:cs="宋体"/>
                <w:color w:val="auto"/>
                <w:sz w:val="24"/>
                <w:lang w:eastAsia="zh-CN"/>
              </w:rPr>
              <w:t>电镀件项目</w:t>
            </w:r>
            <w:r>
              <w:rPr>
                <w:rFonts w:hint="eastAsia" w:ascii="宋体" w:hAnsi="宋体" w:cs="宋体"/>
                <w:color w:val="auto"/>
                <w:sz w:val="24"/>
              </w:rPr>
              <w:t>。厂区外排污染物主要为废水、废气。废水主要是生产车间废水、生活污水</w:t>
            </w:r>
            <w:r>
              <w:rPr>
                <w:rFonts w:hint="eastAsia" w:ascii="宋体" w:hAnsi="宋体" w:cs="宋体"/>
                <w:color w:val="auto"/>
                <w:sz w:val="24"/>
                <w:lang w:eastAsia="zh-CN"/>
              </w:rPr>
              <w:t>、初期雨水</w:t>
            </w:r>
            <w:r>
              <w:rPr>
                <w:rFonts w:hint="eastAsia" w:ascii="宋体" w:hAnsi="宋体" w:cs="宋体"/>
                <w:color w:val="auto"/>
                <w:sz w:val="24"/>
              </w:rPr>
              <w:t>。生产废水主要监测指标为化学需氧量、PH值、氨氮、流量、总铜、悬浮物、总氮、总磷、总镍；生活废水主要监测指标为化学需氧量、PH值、氨氮、悬浮物</w:t>
            </w:r>
            <w:r>
              <w:rPr>
                <w:rFonts w:hint="eastAsia" w:ascii="宋体" w:hAnsi="宋体" w:cs="宋体"/>
                <w:color w:val="auto"/>
                <w:sz w:val="24"/>
                <w:lang w:eastAsia="zh-CN"/>
              </w:rPr>
              <w:t>，初期雨水主要监测指标</w:t>
            </w:r>
            <w:r>
              <w:rPr>
                <w:rFonts w:hint="eastAsia" w:ascii="宋体" w:hAnsi="宋体" w:cs="宋体"/>
                <w:color w:val="auto"/>
                <w:sz w:val="24"/>
                <w:lang w:val="en-US" w:eastAsia="zh-CN"/>
              </w:rPr>
              <w:t>PH值</w:t>
            </w:r>
            <w:r>
              <w:rPr>
                <w:rFonts w:hint="eastAsia" w:ascii="宋体" w:hAnsi="宋体" w:cs="宋体"/>
                <w:color w:val="auto"/>
                <w:sz w:val="24"/>
              </w:rPr>
              <w:t>。</w:t>
            </w:r>
            <w:r>
              <w:rPr>
                <w:rFonts w:hint="eastAsia" w:ascii="宋体" w:hAnsi="宋体" w:cs="宋体"/>
                <w:color w:val="auto"/>
                <w:sz w:val="24"/>
                <w:lang w:eastAsia="zh-CN"/>
              </w:rPr>
              <w:t>生</w:t>
            </w:r>
            <w:r>
              <w:rPr>
                <w:rFonts w:hint="eastAsia" w:ascii="宋体" w:hAnsi="宋体" w:cs="宋体"/>
                <w:color w:val="auto"/>
                <w:sz w:val="24"/>
              </w:rPr>
              <w:t>产废水中含镍废水经离子交换后大部分经过滤器返回水洗槽作为清洗水，其余进入污水处理站综合废水池处理；职工生活污水经化粪池处理后，</w:t>
            </w:r>
            <w:r>
              <w:rPr>
                <w:rFonts w:hint="eastAsia" w:ascii="宋体" w:hAnsi="宋体" w:cs="宋体"/>
                <w:color w:val="auto"/>
                <w:sz w:val="24"/>
                <w:lang w:eastAsia="zh-CN"/>
              </w:rPr>
              <w:t>与生产废水同一出口进入市政管网</w:t>
            </w:r>
            <w:r>
              <w:rPr>
                <w:rFonts w:hint="eastAsia" w:ascii="宋体" w:hAnsi="宋体" w:cs="宋体"/>
                <w:color w:val="auto"/>
                <w:sz w:val="24"/>
              </w:rPr>
              <w:t>，最终进入白沟新城污水处理厂。有组织排放废气为电镀工艺产生的</w:t>
            </w:r>
            <w:r>
              <w:rPr>
                <w:rFonts w:hint="eastAsia" w:ascii="宋体" w:hAnsi="宋体" w:cs="宋体"/>
                <w:color w:val="auto"/>
                <w:sz w:val="24"/>
                <w:lang w:val="en-US" w:eastAsia="zh-CN"/>
              </w:rPr>
              <w:t>氯化氢</w:t>
            </w:r>
            <w:r>
              <w:rPr>
                <w:rFonts w:hint="eastAsia" w:ascii="宋体" w:hAnsi="宋体" w:cs="宋体"/>
                <w:color w:val="auto"/>
                <w:sz w:val="24"/>
              </w:rPr>
              <w:t>、硫酸雾。</w:t>
            </w:r>
            <w:r>
              <w:rPr>
                <w:rFonts w:hint="eastAsia" w:ascii="宋体" w:hAnsi="宋体" w:cs="宋体"/>
                <w:color w:val="auto"/>
                <w:sz w:val="24"/>
                <w:lang w:val="en-US" w:eastAsia="zh-CN"/>
              </w:rPr>
              <w:t>氯化氢</w:t>
            </w:r>
            <w:r>
              <w:rPr>
                <w:rFonts w:hint="eastAsia" w:ascii="宋体" w:hAnsi="宋体" w:cs="宋体"/>
                <w:color w:val="auto"/>
                <w:sz w:val="24"/>
                <w:lang w:eastAsia="zh-CN"/>
              </w:rPr>
              <w:t>、硫酸雾</w:t>
            </w:r>
            <w:r>
              <w:rPr>
                <w:rFonts w:hint="eastAsia" w:ascii="宋体" w:hAnsi="宋体" w:cs="宋体"/>
                <w:color w:val="auto"/>
                <w:sz w:val="24"/>
              </w:rPr>
              <w:t>通过由集气罩＋酸雾</w:t>
            </w:r>
            <w:r>
              <w:rPr>
                <w:rFonts w:hint="eastAsia" w:ascii="宋体" w:hAnsi="宋体" w:cs="宋体"/>
                <w:color w:val="auto"/>
                <w:sz w:val="24"/>
                <w:lang w:val="en-US" w:eastAsia="zh-CN"/>
              </w:rPr>
              <w:t>喷淋</w:t>
            </w:r>
            <w:r>
              <w:rPr>
                <w:rFonts w:hint="eastAsia" w:ascii="宋体" w:hAnsi="宋体" w:cs="宋体"/>
                <w:color w:val="auto"/>
                <w:sz w:val="24"/>
              </w:rPr>
              <w:t>塔处理达标排放</w:t>
            </w:r>
            <w:r>
              <w:rPr>
                <w:rFonts w:hint="eastAsia" w:ascii="宋体" w:hAnsi="宋体" w:cs="宋体"/>
                <w:color w:val="auto"/>
                <w:sz w:val="24"/>
                <w:lang w:eastAsia="zh-CN"/>
              </w:rPr>
              <w:t>，</w:t>
            </w:r>
            <w:r>
              <w:rPr>
                <w:rFonts w:hint="eastAsia" w:ascii="宋体" w:hAnsi="宋体" w:cs="宋体"/>
                <w:color w:val="auto"/>
                <w:sz w:val="24"/>
              </w:rPr>
              <w:t>处理后的废气经</w:t>
            </w:r>
            <w:r>
              <w:rPr>
                <w:rFonts w:hint="eastAsia" w:ascii="宋体" w:hAnsi="宋体" w:cs="宋体"/>
                <w:color w:val="auto"/>
                <w:sz w:val="24"/>
                <w:lang w:val="en-US" w:eastAsia="zh-CN"/>
              </w:rPr>
              <w:t>1</w:t>
            </w:r>
            <w:r>
              <w:rPr>
                <w:rFonts w:hint="eastAsia" w:ascii="宋体" w:hAnsi="宋体" w:cs="宋体"/>
                <w:color w:val="auto"/>
                <w:sz w:val="24"/>
              </w:rPr>
              <w:t>5米高排气筒排放，满足排放标准限制要求。无组织废气主要为少量未被吸收处理的含酸废气，根据历次监测结果可知满足排放标准限值要求</w:t>
            </w:r>
            <w:r>
              <w:rPr>
                <w:rFonts w:hint="eastAsia" w:ascii="宋体" w:hAnsi="宋体" w:cs="宋体"/>
                <w:color w:val="auto"/>
                <w:sz w:val="24"/>
                <w:lang w:eastAsia="zh-CN"/>
              </w:rPr>
              <w:t>。</w:t>
            </w:r>
            <w:r>
              <w:rPr>
                <w:rFonts w:hint="eastAsia" w:ascii="宋体" w:hAnsi="宋体" w:cs="宋体"/>
                <w:color w:val="auto"/>
                <w:sz w:val="24"/>
              </w:rPr>
              <w:t>职工生活垃圾收集后统一由环卫部门清运。全厂危险废物主要为电镀生产线产生的</w:t>
            </w:r>
            <w:r>
              <w:rPr>
                <w:rFonts w:hint="eastAsia" w:ascii="宋体" w:hAnsi="宋体" w:cs="宋体"/>
                <w:color w:val="auto"/>
                <w:sz w:val="24"/>
                <w:lang w:val="en-US" w:eastAsia="zh-CN"/>
              </w:rPr>
              <w:t>废酸液</w:t>
            </w:r>
            <w:r>
              <w:rPr>
                <w:rFonts w:hint="eastAsia" w:ascii="宋体" w:hAnsi="宋体" w:cs="宋体"/>
                <w:color w:val="auto"/>
                <w:sz w:val="24"/>
              </w:rPr>
              <w:t>、电</w:t>
            </w:r>
            <w:r>
              <w:rPr>
                <w:rFonts w:hint="eastAsia" w:ascii="宋体" w:hAnsi="宋体" w:cs="宋体"/>
                <w:color w:val="auto"/>
                <w:sz w:val="24"/>
                <w:lang w:val="en-US" w:eastAsia="zh-CN"/>
              </w:rPr>
              <w:t>废过滤棉芯</w:t>
            </w:r>
            <w:r>
              <w:rPr>
                <w:rFonts w:hint="eastAsia" w:ascii="宋体" w:hAnsi="宋体" w:cs="宋体"/>
                <w:color w:val="auto"/>
                <w:sz w:val="24"/>
              </w:rPr>
              <w:t>、污泥</w:t>
            </w:r>
            <w:r>
              <w:rPr>
                <w:rFonts w:hint="eastAsia" w:ascii="宋体" w:hAnsi="宋体" w:cs="宋体"/>
                <w:color w:val="auto"/>
                <w:sz w:val="24"/>
                <w:lang w:eastAsia="zh-CN"/>
              </w:rPr>
              <w:t>、</w:t>
            </w:r>
            <w:r>
              <w:rPr>
                <w:rFonts w:hint="eastAsia" w:ascii="宋体" w:hAnsi="宋体" w:cs="宋体"/>
                <w:color w:val="auto"/>
                <w:sz w:val="24"/>
                <w:lang w:val="en-US" w:eastAsia="zh-CN"/>
              </w:rPr>
              <w:t>在线监测废液</w:t>
            </w:r>
            <w:r>
              <w:rPr>
                <w:rFonts w:hint="eastAsia" w:ascii="宋体" w:hAnsi="宋体" w:cs="宋体"/>
                <w:color w:val="auto"/>
                <w:sz w:val="24"/>
              </w:rPr>
              <w:t>，上述危险废物按照要求依托现有防雨防渗废物贮存场，分类贮存于高密度聚乙烯容器内，并委托具有相应危险废物处置资质的河北风华环保服务有限公司进行处置。厂内噪声主要是烘干机、废气治理风机、水泵等设备运行产生的噪声，主要设备置于厂房内，采取基础减振，厂房隔声，再经距离衰减等降噪措施，满足排放标准限值要求。</w:t>
            </w:r>
          </w:p>
          <w:p>
            <w:pPr>
              <w:spacing w:line="360" w:lineRule="auto"/>
              <w:ind w:firstLine="480" w:firstLineChars="200"/>
              <w:jc w:val="both"/>
              <w:rPr>
                <w:rFonts w:hint="eastAsia" w:ascii="宋体" w:hAnsi="宋体" w:cs="宋体"/>
                <w:color w:val="auto"/>
                <w:sz w:val="30"/>
                <w:szCs w:val="30"/>
              </w:rPr>
            </w:pPr>
            <w:r>
              <w:rPr>
                <w:rFonts w:hint="eastAsia" w:ascii="宋体" w:hAnsi="宋体" w:cs="宋体"/>
                <w:color w:val="auto"/>
                <w:sz w:val="24"/>
              </w:rPr>
              <w:t>企业自行监测包括自动监测和手工监测，自动监测和手工监测均委托有资质的第三方检测机构开展自行监测。</w:t>
            </w:r>
          </w:p>
          <w:p>
            <w:pPr>
              <w:spacing w:line="276" w:lineRule="auto"/>
              <w:rPr>
                <w:rFonts w:hint="eastAsia" w:ascii="宋体" w:hAnsi="宋体" w:cs="宋体"/>
                <w:color w:val="auto"/>
                <w:sz w:val="21"/>
                <w:szCs w:val="21"/>
              </w:rPr>
            </w:pPr>
          </w:p>
          <w:p>
            <w:pPr>
              <w:spacing w:line="276" w:lineRule="auto"/>
              <w:rPr>
                <w:rFonts w:hint="eastAsia" w:ascii="宋体" w:hAnsi="宋体" w:cs="宋体"/>
                <w:color w:val="auto"/>
                <w:sz w:val="21"/>
                <w:szCs w:val="21"/>
              </w:rPr>
            </w:pPr>
            <w:r>
              <w:rPr>
                <w:rFonts w:hint="eastAsia" w:ascii="宋体" w:hAnsi="宋体" w:cs="宋体"/>
                <w:b/>
                <w:color w:val="auto"/>
                <w:sz w:val="24"/>
              </w:rPr>
              <w:t>2.监测依据</w:t>
            </w:r>
          </w:p>
          <w:p>
            <w:pPr>
              <w:tabs>
                <w:tab w:val="left" w:pos="446"/>
              </w:tabs>
              <w:spacing w:before="46" w:line="276" w:lineRule="auto"/>
              <w:ind w:right="132"/>
              <w:rPr>
                <w:rFonts w:hint="eastAsia" w:ascii="宋体" w:hAnsi="宋体" w:cs="宋体"/>
                <w:color w:val="auto"/>
                <w:sz w:val="24"/>
              </w:rPr>
            </w:pPr>
            <w:r>
              <w:rPr>
                <w:rFonts w:hint="eastAsia" w:ascii="宋体" w:hAnsi="宋体" w:cs="宋体"/>
                <w:color w:val="auto"/>
                <w:sz w:val="24"/>
              </w:rPr>
              <w:t>2.1《排污许可管理办法（试行）》(环境保护部令第48 号)</w:t>
            </w:r>
          </w:p>
          <w:p>
            <w:pPr>
              <w:tabs>
                <w:tab w:val="left" w:pos="446"/>
              </w:tabs>
              <w:spacing w:before="46" w:line="276" w:lineRule="auto"/>
              <w:ind w:right="132"/>
              <w:rPr>
                <w:rFonts w:hint="eastAsia" w:ascii="宋体" w:hAnsi="宋体" w:cs="宋体"/>
                <w:color w:val="auto"/>
                <w:sz w:val="24"/>
              </w:rPr>
            </w:pPr>
            <w:r>
              <w:rPr>
                <w:rFonts w:hint="eastAsia" w:ascii="宋体" w:hAnsi="宋体" w:cs="宋体"/>
                <w:color w:val="auto"/>
                <w:sz w:val="24"/>
              </w:rPr>
              <w:t>2.2 《排污许可证申请与核发技术规范 电镀工业》（HJ855-2017）</w:t>
            </w:r>
          </w:p>
          <w:p>
            <w:pPr>
              <w:tabs>
                <w:tab w:val="left" w:pos="441"/>
              </w:tabs>
              <w:spacing w:before="2" w:line="276" w:lineRule="auto"/>
              <w:rPr>
                <w:rFonts w:hint="eastAsia"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高碑店市海建五金电镀厂五金饰件加工及电镀项目</w:t>
            </w:r>
            <w:r>
              <w:rPr>
                <w:rFonts w:hint="eastAsia" w:ascii="宋体" w:hAnsi="宋体" w:cs="宋体"/>
                <w:color w:val="auto"/>
                <w:sz w:val="24"/>
              </w:rPr>
              <w:t>环境影响报告》</w:t>
            </w:r>
          </w:p>
          <w:p>
            <w:pPr>
              <w:tabs>
                <w:tab w:val="left" w:pos="441"/>
              </w:tabs>
              <w:spacing w:before="2" w:line="276" w:lineRule="auto"/>
              <w:rPr>
                <w:rFonts w:hint="eastAsia" w:ascii="宋体" w:hAnsi="宋体" w:cs="宋体"/>
                <w:color w:val="auto"/>
                <w:sz w:val="24"/>
              </w:rPr>
            </w:pPr>
            <w:r>
              <w:rPr>
                <w:rFonts w:hint="eastAsia" w:ascii="宋体" w:hAnsi="宋体" w:cs="宋体"/>
                <w:color w:val="auto"/>
                <w:sz w:val="24"/>
              </w:rPr>
              <w:t>2.4 《</w:t>
            </w:r>
            <w:r>
              <w:rPr>
                <w:rFonts w:hint="eastAsia" w:ascii="宋体" w:hAnsi="宋体" w:cs="宋体"/>
                <w:color w:val="auto"/>
                <w:sz w:val="24"/>
                <w:lang w:eastAsia="zh-CN"/>
              </w:rPr>
              <w:t>高碑店市海建五金电镀厂</w:t>
            </w:r>
            <w:r>
              <w:rPr>
                <w:rFonts w:hint="eastAsia" w:ascii="宋体" w:hAnsi="宋体" w:cs="宋体"/>
                <w:color w:val="auto"/>
                <w:sz w:val="24"/>
              </w:rPr>
              <w:t>年</w:t>
            </w:r>
            <w:r>
              <w:rPr>
                <w:rFonts w:hint="eastAsia" w:ascii="宋体" w:hAnsi="宋体" w:cs="宋体"/>
                <w:color w:val="auto"/>
                <w:sz w:val="24"/>
                <w:lang w:eastAsia="zh-CN"/>
              </w:rPr>
              <w:t>五金饰件加工及电镀项目后评价报告</w:t>
            </w:r>
            <w:r>
              <w:rPr>
                <w:rFonts w:hint="eastAsia" w:ascii="宋体" w:hAnsi="宋体" w:cs="宋体"/>
                <w:color w:val="auto"/>
                <w:sz w:val="24"/>
              </w:rPr>
              <w:t>》</w:t>
            </w:r>
          </w:p>
          <w:p>
            <w:pPr>
              <w:tabs>
                <w:tab w:val="left" w:pos="441"/>
              </w:tabs>
              <w:spacing w:before="2" w:line="276" w:lineRule="auto"/>
              <w:rPr>
                <w:rFonts w:hint="eastAsia" w:ascii="宋体" w:hAnsi="宋体" w:cs="宋体"/>
                <w:color w:val="auto"/>
                <w:sz w:val="24"/>
              </w:rPr>
            </w:pPr>
            <w:r>
              <w:rPr>
                <w:rFonts w:hint="eastAsia" w:ascii="宋体" w:hAnsi="宋体" w:cs="宋体"/>
                <w:color w:val="auto"/>
                <w:sz w:val="24"/>
              </w:rPr>
              <w:t>2.5《固定污染源排放烟气连续监测系统技术要求及检测方法》 （HJ/T76-2007）</w:t>
            </w:r>
          </w:p>
          <w:p>
            <w:pPr>
              <w:tabs>
                <w:tab w:val="left" w:pos="441"/>
              </w:tabs>
              <w:spacing w:before="2" w:line="276" w:lineRule="auto"/>
              <w:rPr>
                <w:rFonts w:hint="eastAsia" w:ascii="宋体" w:hAnsi="宋体" w:cs="宋体"/>
                <w:color w:val="auto"/>
                <w:sz w:val="24"/>
              </w:rPr>
            </w:pPr>
            <w:r>
              <w:rPr>
                <w:rFonts w:hint="eastAsia" w:ascii="宋体" w:hAnsi="宋体" w:cs="宋体"/>
                <w:color w:val="auto"/>
                <w:sz w:val="24"/>
              </w:rPr>
              <w:t>2.6 《固定源废气监测技术规范》（HJ/T 397-2007）</w:t>
            </w:r>
          </w:p>
          <w:p>
            <w:pPr>
              <w:tabs>
                <w:tab w:val="left" w:pos="441"/>
              </w:tabs>
              <w:spacing w:before="72" w:line="276" w:lineRule="auto"/>
              <w:rPr>
                <w:rFonts w:hint="eastAsia" w:ascii="宋体" w:hAnsi="宋体" w:cs="宋体"/>
                <w:color w:val="auto"/>
                <w:sz w:val="24"/>
              </w:rPr>
            </w:pPr>
            <w:r>
              <w:rPr>
                <w:rFonts w:hint="eastAsia" w:ascii="宋体" w:hAnsi="宋体" w:cs="宋体"/>
                <w:color w:val="auto"/>
                <w:sz w:val="24"/>
              </w:rPr>
              <w:t>2.7 《地表水和污水监测技术规范》（HJ/T 91-2002）</w:t>
            </w:r>
          </w:p>
          <w:p>
            <w:pPr>
              <w:tabs>
                <w:tab w:val="left" w:pos="441"/>
              </w:tabs>
              <w:spacing w:before="72" w:line="276" w:lineRule="auto"/>
              <w:rPr>
                <w:rFonts w:hint="eastAsia" w:ascii="宋体" w:hAnsi="宋体" w:cs="宋体"/>
                <w:color w:val="auto"/>
                <w:sz w:val="24"/>
              </w:rPr>
            </w:pPr>
            <w:r>
              <w:rPr>
                <w:rFonts w:hint="eastAsia" w:ascii="宋体" w:hAnsi="宋体" w:cs="宋体"/>
                <w:color w:val="auto"/>
                <w:sz w:val="24"/>
              </w:rPr>
              <w:t>2.8《排污单位自行监测技术指南 总则》（HJ 819-2017）</w:t>
            </w:r>
          </w:p>
          <w:p>
            <w:pPr>
              <w:tabs>
                <w:tab w:val="left" w:pos="441"/>
              </w:tabs>
              <w:spacing w:before="72" w:line="276" w:lineRule="auto"/>
              <w:jc w:val="both"/>
              <w:rPr>
                <w:rFonts w:hint="eastAsia" w:ascii="宋体" w:hAnsi="宋体" w:cs="宋体"/>
                <w:color w:val="auto"/>
                <w:sz w:val="24"/>
              </w:rPr>
            </w:pPr>
            <w:r>
              <w:rPr>
                <w:rFonts w:hint="eastAsia" w:ascii="宋体" w:hAnsi="宋体" w:cs="宋体"/>
                <w:color w:val="auto"/>
                <w:sz w:val="24"/>
              </w:rPr>
              <w:t>2.9《排污单位自行监测技术指南火力发电及锅炉》（HJ 820-2017）</w:t>
            </w:r>
          </w:p>
          <w:p>
            <w:pPr>
              <w:spacing w:line="276" w:lineRule="auto"/>
              <w:jc w:val="both"/>
              <w:rPr>
                <w:rFonts w:hint="eastAsia" w:ascii="宋体" w:hAnsi="宋体" w:eastAsia="宋体" w:cs="宋体"/>
                <w:color w:val="auto"/>
                <w:sz w:val="24"/>
                <w:lang w:eastAsia="zh-CN"/>
              </w:rPr>
            </w:pPr>
            <w:r>
              <w:rPr>
                <w:rFonts w:hint="eastAsia" w:ascii="宋体" w:hAnsi="宋体" w:cs="宋体"/>
                <w:color w:val="auto"/>
                <w:sz w:val="24"/>
              </w:rPr>
              <w:t>2.10《工业企业厂界环境噪声排放标准》（GB12348-2008）</w:t>
            </w:r>
          </w:p>
          <w:p>
            <w:pPr>
              <w:spacing w:line="276" w:lineRule="auto"/>
              <w:jc w:val="both"/>
              <w:rPr>
                <w:rFonts w:hint="eastAsia" w:ascii="宋体" w:hAnsi="宋体" w:cs="宋体"/>
                <w:color w:val="auto"/>
                <w:sz w:val="24"/>
                <w:lang w:val="en-US" w:eastAsia="zh-CN"/>
              </w:rPr>
            </w:pPr>
            <w:r>
              <w:rPr>
                <w:rFonts w:hint="eastAsia" w:ascii="宋体" w:hAnsi="宋体" w:cs="宋体"/>
                <w:color w:val="auto"/>
                <w:sz w:val="24"/>
              </w:rPr>
              <w:t>2.1</w:t>
            </w:r>
            <w:r>
              <w:rPr>
                <w:rFonts w:hint="eastAsia" w:ascii="宋体" w:hAnsi="宋体" w:cs="宋体"/>
                <w:color w:val="auto"/>
                <w:sz w:val="24"/>
                <w:lang w:val="en-US" w:eastAsia="zh-CN"/>
              </w:rPr>
              <w:t>1</w:t>
            </w:r>
            <w:r>
              <w:rPr>
                <w:rFonts w:hint="eastAsia" w:ascii="宋体" w:hAnsi="宋体" w:cs="宋体"/>
                <w:color w:val="auto"/>
                <w:sz w:val="24"/>
              </w:rPr>
              <w:t>《大气污染物综合排放标准》（GB16297-1996）</w:t>
            </w:r>
          </w:p>
          <w:p>
            <w:pPr>
              <w:spacing w:line="276" w:lineRule="auto"/>
              <w:jc w:val="both"/>
              <w:rPr>
                <w:rFonts w:hint="eastAsia" w:ascii="宋体" w:hAnsi="宋体" w:cs="宋体"/>
                <w:color w:val="auto"/>
                <w:sz w:val="24"/>
              </w:rPr>
            </w:pPr>
            <w:r>
              <w:rPr>
                <w:rFonts w:hint="eastAsia" w:ascii="宋体" w:hAnsi="宋体" w:cs="宋体"/>
                <w:color w:val="auto"/>
                <w:sz w:val="24"/>
              </w:rPr>
              <w:t>2.12《电镀污染物排放标准》（</w:t>
            </w:r>
            <w:r>
              <w:rPr>
                <w:rFonts w:ascii="宋体" w:hAnsi="宋体" w:cs="宋体"/>
                <w:color w:val="auto"/>
                <w:sz w:val="24"/>
              </w:rPr>
              <w:t>GB21900-2008</w:t>
            </w:r>
            <w:r>
              <w:rPr>
                <w:rFonts w:hint="eastAsia" w:ascii="宋体" w:hAnsi="宋体" w:cs="宋体"/>
                <w:color w:val="auto"/>
                <w:sz w:val="24"/>
              </w:rPr>
              <w:t>）</w:t>
            </w:r>
          </w:p>
          <w:p>
            <w:pPr>
              <w:spacing w:line="276" w:lineRule="auto"/>
              <w:rPr>
                <w:rFonts w:hint="eastAsia" w:ascii="宋体" w:hAnsi="宋体" w:cs="宋体"/>
                <w:color w:val="auto"/>
                <w:sz w:val="24"/>
              </w:rPr>
            </w:pPr>
            <w:r>
              <w:rPr>
                <w:rFonts w:hint="eastAsia" w:ascii="宋体" w:hAnsi="宋体" w:cs="宋体"/>
                <w:color w:val="auto"/>
                <w:sz w:val="24"/>
              </w:rPr>
              <w:t>2.13《水质样品的保存和管理技术规定》HJ 493-2009</w:t>
            </w:r>
          </w:p>
          <w:p>
            <w:pPr>
              <w:spacing w:line="276" w:lineRule="auto"/>
              <w:rPr>
                <w:rFonts w:hint="eastAsia" w:ascii="宋体" w:hAnsi="宋体" w:cs="宋体"/>
                <w:color w:val="auto"/>
                <w:sz w:val="24"/>
              </w:rPr>
            </w:pPr>
            <w:r>
              <w:rPr>
                <w:rFonts w:hint="eastAsia" w:ascii="宋体" w:hAnsi="宋体" w:cs="宋体"/>
                <w:color w:val="auto"/>
                <w:sz w:val="24"/>
              </w:rPr>
              <w:t>2.14《水质采样技术指导》HJ 494-2009</w:t>
            </w:r>
          </w:p>
          <w:p>
            <w:pPr>
              <w:spacing w:line="276" w:lineRule="auto"/>
              <w:rPr>
                <w:rFonts w:hint="eastAsia" w:ascii="宋体" w:hAnsi="宋体" w:cs="宋体"/>
                <w:color w:val="auto"/>
                <w:sz w:val="24"/>
              </w:rPr>
            </w:pPr>
            <w:r>
              <w:rPr>
                <w:rFonts w:hint="eastAsia" w:ascii="宋体" w:hAnsi="宋体" w:cs="宋体"/>
                <w:color w:val="auto"/>
                <w:sz w:val="24"/>
              </w:rPr>
              <w:t>2.15《水质采样方案设计技术规定》HJ 495-2009</w:t>
            </w:r>
          </w:p>
          <w:p>
            <w:pPr>
              <w:spacing w:line="276" w:lineRule="auto"/>
              <w:rPr>
                <w:rFonts w:hint="eastAsia" w:ascii="宋体" w:hAnsi="宋体" w:cs="宋体"/>
                <w:color w:val="auto"/>
                <w:sz w:val="24"/>
              </w:rPr>
            </w:pPr>
            <w:r>
              <w:rPr>
                <w:rFonts w:hint="eastAsia" w:ascii="宋体" w:hAnsi="宋体" w:cs="宋体"/>
                <w:color w:val="auto"/>
                <w:sz w:val="24"/>
              </w:rPr>
              <w:t>2.16《企业事业单位环境信息公开办法》（环境保护部令第31 号）</w:t>
            </w:r>
          </w:p>
          <w:p>
            <w:pPr>
              <w:spacing w:line="276" w:lineRule="auto"/>
              <w:rPr>
                <w:rFonts w:hint="eastAsia" w:ascii="宋体" w:hAnsi="宋体" w:cs="宋体"/>
                <w:color w:val="auto"/>
                <w:sz w:val="24"/>
              </w:rPr>
            </w:pPr>
            <w:r>
              <w:rPr>
                <w:rFonts w:hint="eastAsia" w:ascii="宋体" w:hAnsi="宋体" w:cs="宋体"/>
                <w:color w:val="auto"/>
                <w:sz w:val="24"/>
              </w:rPr>
              <w:t>2.17《国家重点监控企业自行监测及信息公开办法（试行）》（环发〔2013〕81 号</w:t>
            </w:r>
          </w:p>
          <w:p>
            <w:pPr>
              <w:spacing w:line="276" w:lineRule="auto"/>
              <w:rPr>
                <w:rFonts w:hint="eastAsia" w:ascii="宋体" w:hAnsi="宋体" w:cs="宋体"/>
                <w:color w:val="auto"/>
                <w:sz w:val="24"/>
              </w:rPr>
            </w:pPr>
          </w:p>
          <w:p>
            <w:pPr>
              <w:spacing w:line="276" w:lineRule="auto"/>
              <w:rPr>
                <w:rFonts w:hint="eastAsia" w:ascii="宋体" w:hAnsi="宋体" w:cs="宋体"/>
                <w:color w:val="auto"/>
                <w:sz w:val="24"/>
              </w:rPr>
            </w:pPr>
          </w:p>
          <w:p>
            <w:pPr>
              <w:pStyle w:val="34"/>
              <w:tabs>
                <w:tab w:val="left" w:pos="7470"/>
              </w:tabs>
              <w:ind w:firstLine="0" w:firstLineChars="0"/>
              <w:rPr>
                <w:rFonts w:hint="eastAsia" w:ascii="宋体" w:hAnsi="宋体" w:cs="宋体"/>
                <w:b/>
                <w:color w:val="auto"/>
                <w:sz w:val="24"/>
              </w:rPr>
            </w:pPr>
            <w:r>
              <w:rPr>
                <w:rFonts w:ascii="宋体" w:hAnsi="宋体" w:cs="宋体"/>
                <w:b/>
                <w:color w:val="auto"/>
                <w:sz w:val="24"/>
              </w:rPr>
              <w:tab/>
            </w:r>
          </w:p>
          <w:p>
            <w:pPr>
              <w:pStyle w:val="34"/>
              <w:ind w:firstLine="0" w:firstLineChars="0"/>
              <w:rPr>
                <w:rFonts w:hint="eastAsia" w:ascii="宋体" w:hAnsi="宋体" w:cs="宋体"/>
                <w:b/>
                <w:color w:val="auto"/>
                <w:sz w:val="24"/>
              </w:rPr>
            </w:pPr>
            <w:r>
              <w:rPr>
                <w:rFonts w:hint="eastAsia" w:ascii="宋体" w:hAnsi="宋体" w:cs="宋体"/>
                <w:b/>
                <w:color w:val="auto"/>
                <w:sz w:val="24"/>
              </w:rPr>
              <w:t>3.监测项目、点位、频次及方法</w:t>
            </w:r>
          </w:p>
          <w:p>
            <w:pPr>
              <w:pStyle w:val="34"/>
              <w:ind w:firstLine="0" w:firstLineChars="0"/>
              <w:rPr>
                <w:rFonts w:hint="eastAsia" w:ascii="宋体" w:hAnsi="宋体" w:cs="宋体"/>
                <w:b/>
                <w:bCs w:val="0"/>
                <w:color w:val="auto"/>
                <w:sz w:val="18"/>
                <w:szCs w:val="18"/>
              </w:rPr>
            </w:pPr>
            <w:r>
              <w:rPr>
                <w:rFonts w:hint="eastAsia" w:ascii="宋体" w:hAnsi="宋体" w:cs="宋体"/>
                <w:b/>
                <w:bCs w:val="0"/>
                <w:color w:val="auto"/>
                <w:sz w:val="18"/>
                <w:szCs w:val="18"/>
              </w:rPr>
              <w:t>3.1废水监测项目、点位、频次及方法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shd w:val="clear" w:color="000000" w:fill="FFFFFF"/>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项目</w:t>
                  </w:r>
                </w:p>
              </w:tc>
              <w:tc>
                <w:tcPr>
                  <w:tcW w:w="1025" w:type="dxa"/>
                  <w:shd w:val="clear" w:color="000000" w:fill="FFFFFF"/>
                  <w:noWrap w:val="0"/>
                  <w:vAlign w:val="center"/>
                </w:tcPr>
                <w:p>
                  <w:pPr>
                    <w:adjustRightInd/>
                    <w:snapToGrid/>
                    <w:spacing w:after="0"/>
                    <w:jc w:val="center"/>
                    <w:rPr>
                      <w:rFonts w:hint="eastAsia" w:ascii="宋体" w:hAnsi="宋体" w:cs="宋体"/>
                      <w:b/>
                      <w:bCs/>
                      <w:vanish/>
                      <w:color w:val="auto"/>
                      <w:sz w:val="18"/>
                      <w:szCs w:val="18"/>
                    </w:rPr>
                  </w:pPr>
                  <w:r>
                    <w:rPr>
                      <w:rFonts w:hint="eastAsia" w:ascii="宋体" w:hAnsi="宋体" w:cs="宋体"/>
                      <w:b/>
                      <w:bCs/>
                      <w:color w:val="auto"/>
                      <w:sz w:val="18"/>
                      <w:szCs w:val="18"/>
                    </w:rPr>
                    <w:t>监测点位及排放口编号</w:t>
                  </w:r>
                </w:p>
              </w:tc>
              <w:tc>
                <w:tcPr>
                  <w:tcW w:w="1136" w:type="dxa"/>
                  <w:shd w:val="clear" w:color="000000" w:fill="FFFFFF"/>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监测指标</w:t>
                  </w:r>
                </w:p>
              </w:tc>
              <w:tc>
                <w:tcPr>
                  <w:tcW w:w="1132" w:type="dxa"/>
                  <w:shd w:val="clear" w:color="000000" w:fill="FFFFFF"/>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执行标准</w:t>
                  </w:r>
                </w:p>
              </w:tc>
              <w:tc>
                <w:tcPr>
                  <w:tcW w:w="1045" w:type="dxa"/>
                  <w:shd w:val="clear" w:color="000000" w:fill="FFFFFF"/>
                  <w:noWrap w:val="0"/>
                  <w:vAlign w:val="center"/>
                </w:tcPr>
                <w:p>
                  <w:pPr>
                    <w:adjustRightInd/>
                    <w:snapToGrid/>
                    <w:spacing w:after="0"/>
                    <w:jc w:val="center"/>
                    <w:rPr>
                      <w:rFonts w:hint="eastAsia" w:ascii="宋体" w:hAnsi="宋体" w:cs="宋体"/>
                      <w:b/>
                      <w:bCs/>
                      <w:vanish/>
                      <w:color w:val="auto"/>
                      <w:sz w:val="18"/>
                      <w:szCs w:val="18"/>
                    </w:rPr>
                  </w:pPr>
                  <w:r>
                    <w:rPr>
                      <w:rFonts w:hint="eastAsia" w:ascii="宋体" w:hAnsi="宋体" w:cs="宋体"/>
                      <w:b/>
                      <w:bCs/>
                      <w:color w:val="auto"/>
                      <w:sz w:val="18"/>
                      <w:szCs w:val="18"/>
                    </w:rPr>
                    <w:t>许可排放限值mg/L</w:t>
                  </w:r>
                </w:p>
              </w:tc>
              <w:tc>
                <w:tcPr>
                  <w:tcW w:w="1305"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监测方式</w:t>
                  </w:r>
                </w:p>
              </w:tc>
              <w:tc>
                <w:tcPr>
                  <w:tcW w:w="1260"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监测频次</w:t>
                  </w:r>
                </w:p>
              </w:tc>
              <w:tc>
                <w:tcPr>
                  <w:tcW w:w="3150"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监测方法</w:t>
                  </w:r>
                </w:p>
              </w:tc>
              <w:tc>
                <w:tcPr>
                  <w:tcW w:w="1185" w:type="dxa"/>
                  <w:noWrap w:val="0"/>
                  <w:vAlign w:val="center"/>
                </w:tcPr>
                <w:p>
                  <w:pPr>
                    <w:pStyle w:val="2"/>
                    <w:jc w:val="center"/>
                    <w:rPr>
                      <w:rFonts w:hint="eastAsia" w:ascii="宋体" w:hAnsi="宋体" w:cs="宋体"/>
                      <w:b/>
                      <w:bCs/>
                      <w:color w:val="auto"/>
                      <w:sz w:val="18"/>
                      <w:szCs w:val="18"/>
                    </w:rPr>
                  </w:pPr>
                  <w:r>
                    <w:rPr>
                      <w:rFonts w:hint="eastAsia" w:ascii="宋体" w:hAnsi="宋体" w:eastAsia="宋体" w:cs="宋体"/>
                      <w:b/>
                      <w:bCs/>
                      <w:color w:val="auto"/>
                      <w:sz w:val="18"/>
                      <w:szCs w:val="18"/>
                    </w:rPr>
                    <w:t>采样方法</w:t>
                  </w:r>
                </w:p>
              </w:tc>
              <w:tc>
                <w:tcPr>
                  <w:tcW w:w="2971"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restart"/>
                  <w:shd w:val="clear" w:color="000000" w:fill="FFFFFF"/>
                  <w:noWrap w:val="0"/>
                  <w:vAlign w:val="center"/>
                </w:tcPr>
                <w:p>
                  <w:pPr>
                    <w:rPr>
                      <w:rFonts w:hint="eastAsia" w:ascii="宋体" w:hAnsi="宋体" w:cs="宋体"/>
                      <w:color w:val="auto"/>
                      <w:sz w:val="18"/>
                      <w:szCs w:val="18"/>
                    </w:rPr>
                  </w:pPr>
                  <w:r>
                    <w:rPr>
                      <w:rFonts w:hint="eastAsia" w:ascii="宋体" w:hAnsi="宋体" w:cs="宋体"/>
                      <w:b/>
                      <w:color w:val="auto"/>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cs="宋体"/>
                      <w:b/>
                      <w:color w:val="auto"/>
                      <w:sz w:val="18"/>
                      <w:szCs w:val="18"/>
                    </w:rPr>
                  </w:pPr>
                  <w:r>
                    <w:rPr>
                      <w:rFonts w:hint="eastAsia" w:ascii="宋体" w:hAnsi="宋体" w:cs="宋体"/>
                      <w:b w:val="0"/>
                      <w:bCs/>
                      <w:color w:val="auto"/>
                      <w:sz w:val="18"/>
                      <w:szCs w:val="18"/>
                      <w:lang w:val="en-US" w:eastAsia="zh-CN"/>
                    </w:rPr>
                    <w:t>综合废水排污口DW001</w:t>
                  </w: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《电镀污染物排放标准》</w:t>
                  </w:r>
                </w:p>
                <w:p>
                  <w:pPr>
                    <w:jc w:val="center"/>
                    <w:rPr>
                      <w:rFonts w:hint="eastAsia" w:ascii="宋体" w:hAnsi="宋体" w:cs="宋体"/>
                      <w:color w:val="auto"/>
                      <w:sz w:val="18"/>
                      <w:szCs w:val="18"/>
                    </w:rPr>
                  </w:pPr>
                  <w:r>
                    <w:rPr>
                      <w:rFonts w:hint="eastAsia" w:ascii="宋体" w:hAnsi="宋体" w:cs="宋体"/>
                      <w:color w:val="auto"/>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80</w:t>
                  </w:r>
                </w:p>
              </w:tc>
              <w:tc>
                <w:tcPr>
                  <w:tcW w:w="1305" w:type="dxa"/>
                  <w:noWrap w:val="0"/>
                  <w:vAlign w:val="center"/>
                </w:tcPr>
                <w:p>
                  <w:pPr>
                    <w:adjustRightInd/>
                    <w:snapToGrid/>
                    <w:spacing w:after="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化学需氧量的测定 重铬酸盐法》 GB/T 11914-1989</w:t>
                  </w:r>
                </w:p>
              </w:tc>
              <w:tc>
                <w:tcPr>
                  <w:tcW w:w="1185" w:type="dxa"/>
                  <w:vMerge w:val="restart"/>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瞬时采样 至少</w:t>
                  </w:r>
                  <w:r>
                    <w:rPr>
                      <w:rFonts w:hint="eastAsia" w:ascii="宋体" w:hAnsi="宋体" w:cs="宋体"/>
                      <w:color w:val="auto"/>
                      <w:sz w:val="18"/>
                      <w:szCs w:val="18"/>
                      <w:lang w:val="en-US" w:eastAsia="zh-CN"/>
                    </w:rPr>
                    <w:t>4</w:t>
                  </w:r>
                  <w:r>
                    <w:rPr>
                      <w:rFonts w:hint="eastAsia" w:ascii="宋体" w:hAnsi="宋体" w:cs="宋体"/>
                      <w:color w:val="auto"/>
                      <w:sz w:val="18"/>
                      <w:szCs w:val="18"/>
                    </w:rPr>
                    <w:t>个瞬时样</w:t>
                  </w:r>
                </w:p>
                <w:p>
                  <w:pPr>
                    <w:adjustRightInd/>
                    <w:snapToGrid/>
                    <w:spacing w:after="0"/>
                    <w:jc w:val="center"/>
                    <w:rPr>
                      <w:rFonts w:hint="eastAsia" w:ascii="宋体" w:hAnsi="宋体" w:cs="宋体"/>
                      <w:color w:val="auto"/>
                      <w:sz w:val="18"/>
                      <w:szCs w:val="18"/>
                    </w:rPr>
                  </w:pPr>
                </w:p>
              </w:tc>
              <w:tc>
                <w:tcPr>
                  <w:tcW w:w="2971" w:type="dxa"/>
                  <w:noWrap w:val="0"/>
                  <w:vAlign w:val="center"/>
                </w:tcPr>
                <w:p>
                  <w:pPr>
                    <w:pStyle w:val="2"/>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000000" w:fill="FFFFFF"/>
                  <w:noWrap w:val="0"/>
                  <w:vAlign w:val="center"/>
                </w:tcPr>
                <w:p>
                  <w:pPr>
                    <w:jc w:val="center"/>
                    <w:rPr>
                      <w:rFonts w:hint="eastAsia" w:ascii="宋体" w:hAnsi="宋体" w:cs="宋体"/>
                      <w:color w:val="auto"/>
                      <w:sz w:val="18"/>
                      <w:szCs w:val="18"/>
                    </w:rPr>
                  </w:pPr>
                </w:p>
              </w:tc>
              <w:tc>
                <w:tcPr>
                  <w:tcW w:w="1025" w:type="dxa"/>
                  <w:vMerge w:val="continue"/>
                  <w:shd w:val="clear" w:color="000000" w:fill="FFFFFF"/>
                  <w:noWrap w:val="0"/>
                  <w:vAlign w:val="center"/>
                </w:tcPr>
                <w:p>
                  <w:pPr>
                    <w:jc w:val="center"/>
                    <w:rPr>
                      <w:rFonts w:hint="eastAsia" w:ascii="宋体" w:hAnsi="宋体" w:cs="宋体"/>
                      <w:b/>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氨氮</w:t>
                  </w:r>
                </w:p>
              </w:tc>
              <w:tc>
                <w:tcPr>
                  <w:tcW w:w="1132" w:type="dxa"/>
                  <w:vMerge w:val="continue"/>
                  <w:shd w:val="clear" w:color="000000" w:fill="FFFFFF"/>
                  <w:noWrap w:val="0"/>
                  <w:vAlign w:val="center"/>
                </w:tcPr>
                <w:p>
                  <w:pPr>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15</w:t>
                  </w:r>
                </w:p>
              </w:tc>
              <w:tc>
                <w:tcPr>
                  <w:tcW w:w="1305" w:type="dxa"/>
                  <w:noWrap w:val="0"/>
                  <w:vAlign w:val="center"/>
                </w:tcPr>
                <w:p>
                  <w:pPr>
                    <w:adjustRightInd/>
                    <w:snapToGrid/>
                    <w:spacing w:after="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自动</w:t>
                  </w:r>
                </w:p>
              </w:tc>
              <w:tc>
                <w:tcPr>
                  <w:tcW w:w="1260" w:type="dxa"/>
                  <w:noWrap w:val="0"/>
                  <w:vAlign w:val="center"/>
                </w:tcPr>
                <w:p>
                  <w:pPr>
                    <w:adjustRightInd/>
                    <w:snapToGrid/>
                    <w:spacing w:after="0"/>
                    <w:jc w:val="both"/>
                    <w:rPr>
                      <w:rFonts w:hint="eastAsia" w:ascii="宋体" w:hAnsi="宋体" w:cs="宋体"/>
                      <w:color w:val="auto"/>
                      <w:sz w:val="18"/>
                      <w:szCs w:val="18"/>
                    </w:rPr>
                  </w:pPr>
                  <w:r>
                    <w:rPr>
                      <w:rFonts w:hint="eastAsia" w:ascii="宋体" w:hAnsi="宋体" w:cs="宋体"/>
                      <w:color w:val="auto"/>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氨氮的测定 流动注射-水杨酸分光光度法HJ 666-2013</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eastAsia="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4" w:type="dxa"/>
                  <w:vMerge w:val="continue"/>
                  <w:shd w:val="clear" w:color="000000" w:fill="FFFFFF"/>
                  <w:noWrap w:val="0"/>
                  <w:vAlign w:val="center"/>
                </w:tcPr>
                <w:p>
                  <w:pPr>
                    <w:jc w:val="center"/>
                    <w:rPr>
                      <w:rFonts w:hint="eastAsia" w:ascii="宋体" w:hAnsi="宋体" w:cs="宋体"/>
                      <w:color w:val="auto"/>
                      <w:sz w:val="18"/>
                      <w:szCs w:val="18"/>
                    </w:rPr>
                  </w:pPr>
                </w:p>
              </w:tc>
              <w:tc>
                <w:tcPr>
                  <w:tcW w:w="1025" w:type="dxa"/>
                  <w:vMerge w:val="continue"/>
                  <w:shd w:val="clear" w:color="000000" w:fill="FFFFFF"/>
                  <w:noWrap w:val="0"/>
                  <w:vAlign w:val="center"/>
                </w:tcPr>
                <w:p>
                  <w:pPr>
                    <w:jc w:val="center"/>
                    <w:rPr>
                      <w:rFonts w:hint="eastAsia" w:ascii="宋体" w:hAnsi="宋体" w:cs="宋体"/>
                      <w:b/>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pH值</w:t>
                  </w:r>
                </w:p>
              </w:tc>
              <w:tc>
                <w:tcPr>
                  <w:tcW w:w="1132" w:type="dxa"/>
                  <w:vMerge w:val="continue"/>
                  <w:shd w:val="clear" w:color="000000" w:fill="FFFFFF"/>
                  <w:noWrap w:val="0"/>
                  <w:vAlign w:val="center"/>
                </w:tcPr>
                <w:p>
                  <w:pPr>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6-9</w:t>
                  </w:r>
                </w:p>
              </w:tc>
              <w:tc>
                <w:tcPr>
                  <w:tcW w:w="1305"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126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1次/日</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总铜</w:t>
                  </w:r>
                </w:p>
              </w:tc>
              <w:tc>
                <w:tcPr>
                  <w:tcW w:w="1132" w:type="dxa"/>
                  <w:vMerge w:val="continue"/>
                  <w:shd w:val="clear" w:color="000000" w:fill="FFFFFF"/>
                  <w:noWrap w:val="0"/>
                  <w:vAlign w:val="center"/>
                </w:tcPr>
                <w:p>
                  <w:pPr>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0.5</w:t>
                  </w:r>
                </w:p>
              </w:tc>
              <w:tc>
                <w:tcPr>
                  <w:tcW w:w="1305" w:type="dxa"/>
                  <w:noWrap w:val="0"/>
                  <w:vAlign w:val="center"/>
                </w:tcPr>
                <w:p>
                  <w:pPr>
                    <w:adjustRightInd/>
                    <w:snapToGrid/>
                    <w:spacing w:after="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铜、锌、铅、镉的测定 原子吸收分光光度法GB 7475-87</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悬浮物</w:t>
                  </w:r>
                </w:p>
              </w:tc>
              <w:tc>
                <w:tcPr>
                  <w:tcW w:w="1132" w:type="dxa"/>
                  <w:vMerge w:val="continue"/>
                  <w:shd w:val="clear" w:color="000000" w:fill="FFFFFF"/>
                  <w:noWrap w:val="0"/>
                  <w:vAlign w:val="center"/>
                </w:tcPr>
                <w:p>
                  <w:pPr>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50</w:t>
                  </w:r>
                </w:p>
              </w:tc>
              <w:tc>
                <w:tcPr>
                  <w:tcW w:w="1305"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126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 xml:space="preserve">1次/月   </w:t>
                  </w:r>
                </w:p>
              </w:tc>
              <w:tc>
                <w:tcPr>
                  <w:tcW w:w="3150" w:type="dxa"/>
                  <w:noWrap w:val="0"/>
                  <w:vAlign w:val="center"/>
                </w:tcPr>
                <w:p>
                  <w:pPr>
                    <w:adjustRightInd/>
                    <w:snapToGrid/>
                    <w:spacing w:after="0"/>
                    <w:jc w:val="center"/>
                    <w:rPr>
                      <w:rFonts w:hint="eastAsia" w:ascii="Tahoma" w:hAnsi="Tahoma"/>
                      <w:color w:val="auto"/>
                      <w:sz w:val="18"/>
                      <w:szCs w:val="18"/>
                      <w:lang w:val="en-US" w:eastAsia="zh-CN" w:bidi="ar-SA"/>
                    </w:rPr>
                  </w:pPr>
                  <w:r>
                    <w:rPr>
                      <w:rFonts w:hint="eastAsia" w:ascii="宋体" w:hAnsi="宋体" w:cs="宋体"/>
                      <w:color w:val="auto"/>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总氮（以N计）</w:t>
                  </w:r>
                </w:p>
              </w:tc>
              <w:tc>
                <w:tcPr>
                  <w:tcW w:w="1132" w:type="dxa"/>
                  <w:vMerge w:val="continue"/>
                  <w:shd w:val="clear" w:color="000000" w:fill="FFFFFF"/>
                  <w:noWrap w:val="0"/>
                  <w:vAlign w:val="center"/>
                </w:tcPr>
                <w:p>
                  <w:pPr>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20</w:t>
                  </w:r>
                </w:p>
              </w:tc>
              <w:tc>
                <w:tcPr>
                  <w:tcW w:w="1305"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126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1次/日</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 xml:space="preserve">《水质 总氮的测定 碱性过硫酸钾消解紫外分光光度法》 </w:t>
                  </w:r>
                </w:p>
                <w:p>
                  <w:pPr>
                    <w:adjustRightInd/>
                    <w:snapToGrid/>
                    <w:spacing w:after="0"/>
                    <w:jc w:val="center"/>
                    <w:rPr>
                      <w:rFonts w:hint="eastAsia" w:ascii="宋体" w:hAnsi="宋体" w:cs="宋体"/>
                      <w:color w:val="auto"/>
                      <w:sz w:val="18"/>
                      <w:szCs w:val="18"/>
                    </w:rPr>
                  </w:pPr>
                  <w:r>
                    <w:rPr>
                      <w:rFonts w:ascii="宋体" w:hAnsi="宋体" w:cs="宋体"/>
                      <w:color w:val="auto"/>
                      <w:sz w:val="18"/>
                      <w:szCs w:val="18"/>
                    </w:rPr>
                    <w:t>HJ 636-2012</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1.0</w:t>
                  </w:r>
                </w:p>
              </w:tc>
              <w:tc>
                <w:tcPr>
                  <w:tcW w:w="1305"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126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1次/月</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eastAsia="宋体" w:cs="宋体"/>
                      <w:color w:val="auto"/>
                      <w:sz w:val="18"/>
                      <w:szCs w:val="18"/>
                      <w:lang w:val="en-US" w:eastAsia="zh-CN"/>
                    </w:rPr>
                  </w:pPr>
                </w:p>
              </w:tc>
              <w:tc>
                <w:tcPr>
                  <w:tcW w:w="1136"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总镍</w:t>
                  </w:r>
                </w:p>
              </w:tc>
              <w:tc>
                <w:tcPr>
                  <w:tcW w:w="1132"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0.5</w:t>
                  </w:r>
                </w:p>
              </w:tc>
              <w:tc>
                <w:tcPr>
                  <w:tcW w:w="1305" w:type="dxa"/>
                  <w:noWrap w:val="0"/>
                  <w:vAlign w:val="center"/>
                </w:tcPr>
                <w:p>
                  <w:pPr>
                    <w:adjustRightInd/>
                    <w:snapToGrid/>
                    <w:spacing w:after="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自动</w:t>
                  </w:r>
                </w:p>
              </w:tc>
              <w:tc>
                <w:tcPr>
                  <w:tcW w:w="1260" w:type="dxa"/>
                  <w:noWrap w:val="0"/>
                  <w:vAlign w:val="center"/>
                </w:tcPr>
                <w:p>
                  <w:pPr>
                    <w:adjustRightInd/>
                    <w:snapToGrid/>
                    <w:spacing w:after="0"/>
                    <w:jc w:val="both"/>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《水质 镍的测定 火焰原子吸收分光光度法》</w:t>
                  </w:r>
                  <w:r>
                    <w:rPr>
                      <w:rFonts w:ascii="宋体" w:hAnsi="宋体" w:cs="宋体"/>
                      <w:color w:val="auto"/>
                      <w:sz w:val="18"/>
                      <w:szCs w:val="18"/>
                    </w:rPr>
                    <w:t>GB 11912-89</w:t>
                  </w:r>
                </w:p>
              </w:tc>
              <w:tc>
                <w:tcPr>
                  <w:tcW w:w="1185" w:type="dxa"/>
                  <w:vMerge w:val="continue"/>
                  <w:noWrap w:val="0"/>
                  <w:vAlign w:val="center"/>
                </w:tcPr>
                <w:p>
                  <w:pPr>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自动监测设备故障时采用手工监测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eastAsia="宋体" w:cs="宋体"/>
                      <w:color w:val="auto"/>
                      <w:sz w:val="18"/>
                      <w:szCs w:val="18"/>
                      <w:lang w:val="en-US" w:eastAsia="zh-CN"/>
                    </w:rPr>
                  </w:pPr>
                </w:p>
              </w:tc>
              <w:tc>
                <w:tcPr>
                  <w:tcW w:w="1136" w:type="dxa"/>
                  <w:shd w:val="clear" w:color="000000" w:fill="FFFFFF"/>
                  <w:noWrap w:val="0"/>
                  <w:vAlign w:val="center"/>
                </w:tcPr>
                <w:p>
                  <w:pPr>
                    <w:adjustRightInd/>
                    <w:snapToGrid/>
                    <w:spacing w:after="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流量</w:t>
                  </w:r>
                </w:p>
              </w:tc>
              <w:tc>
                <w:tcPr>
                  <w:tcW w:w="1132"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045" w:type="dxa"/>
                  <w:shd w:val="clear" w:color="000000" w:fill="FFFFFF"/>
                  <w:noWrap w:val="0"/>
                  <w:vAlign w:val="center"/>
                </w:tcPr>
                <w:p>
                  <w:pPr>
                    <w:adjustRightInd/>
                    <w:snapToGrid/>
                    <w:spacing w:after="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p>
              </w:tc>
              <w:tc>
                <w:tcPr>
                  <w:tcW w:w="1305" w:type="dxa"/>
                  <w:noWrap w:val="0"/>
                  <w:vAlign w:val="center"/>
                </w:tcPr>
                <w:p>
                  <w:pPr>
                    <w:adjustRightInd/>
                    <w:snapToGrid/>
                    <w:spacing w:after="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自动</w:t>
                  </w:r>
                </w:p>
              </w:tc>
              <w:tc>
                <w:tcPr>
                  <w:tcW w:w="1260" w:type="dxa"/>
                  <w:noWrap w:val="0"/>
                  <w:vAlign w:val="center"/>
                </w:tcPr>
                <w:p>
                  <w:pPr>
                    <w:adjustRightInd/>
                    <w:snapToGrid/>
                    <w:spacing w:after="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每日4次，间隔时间不超过6小时</w:t>
                  </w:r>
                </w:p>
              </w:tc>
              <w:tc>
                <w:tcPr>
                  <w:tcW w:w="3150" w:type="dxa"/>
                  <w:noWrap w:val="0"/>
                  <w:vAlign w:val="center"/>
                </w:tcPr>
                <w:p>
                  <w:pPr>
                    <w:adjustRightInd/>
                    <w:snapToGrid/>
                    <w:spacing w:after="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p>
              </w:tc>
              <w:tc>
                <w:tcPr>
                  <w:tcW w:w="1185" w:type="dxa"/>
                  <w:vMerge w:val="continue"/>
                  <w:noWrap w:val="0"/>
                  <w:vAlign w:val="center"/>
                </w:tcPr>
                <w:p>
                  <w:pPr>
                    <w:spacing w:after="0"/>
                    <w:jc w:val="center"/>
                    <w:rPr>
                      <w:rFonts w:hint="eastAsia" w:ascii="宋体" w:hAnsi="宋体" w:cs="宋体"/>
                      <w:color w:val="auto"/>
                      <w:sz w:val="18"/>
                      <w:szCs w:val="18"/>
                    </w:rPr>
                  </w:pPr>
                </w:p>
              </w:tc>
              <w:tc>
                <w:tcPr>
                  <w:tcW w:w="2971" w:type="dxa"/>
                  <w:noWrap w:val="0"/>
                  <w:vAlign w:val="center"/>
                </w:tcPr>
                <w:p>
                  <w:pPr>
                    <w:adjustRightInd/>
                    <w:snapToGrid/>
                    <w:spacing w:after="0"/>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自动监测设备故障时采用手工监测</w:t>
                  </w:r>
                </w:p>
              </w:tc>
            </w:tr>
          </w:tbl>
          <w:p>
            <w:pPr>
              <w:pStyle w:val="34"/>
              <w:tabs>
                <w:tab w:val="left" w:pos="3990"/>
              </w:tabs>
              <w:ind w:firstLine="0" w:firstLineChars="0"/>
              <w:rPr>
                <w:rFonts w:hint="eastAsia" w:ascii="宋体" w:hAnsi="宋体" w:cs="宋体"/>
                <w:b/>
                <w:color w:val="auto"/>
                <w:sz w:val="18"/>
                <w:szCs w:val="18"/>
              </w:rPr>
            </w:pPr>
            <w:r>
              <w:rPr>
                <w:rFonts w:hint="eastAsia" w:ascii="宋体" w:hAnsi="宋体" w:cs="宋体"/>
                <w:b/>
                <w:color w:val="auto"/>
                <w:sz w:val="18"/>
                <w:szCs w:val="18"/>
              </w:rPr>
              <w:br w:type="page"/>
            </w:r>
            <w:r>
              <w:rPr>
                <w:rFonts w:hint="eastAsia" w:ascii="宋体" w:hAnsi="宋体" w:cs="宋体"/>
                <w:b/>
                <w:bCs w:val="0"/>
                <w:color w:val="auto"/>
                <w:sz w:val="18"/>
                <w:szCs w:val="18"/>
              </w:rPr>
              <w:t>3.2有组织废气监测项目、点位、频次及方法</w:t>
            </w:r>
          </w:p>
          <w:tbl>
            <w:tblPr>
              <w:tblStyle w:val="14"/>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31"/>
              <w:gridCol w:w="1220"/>
              <w:gridCol w:w="3253"/>
              <w:gridCol w:w="1274"/>
              <w:gridCol w:w="762"/>
              <w:gridCol w:w="939"/>
              <w:gridCol w:w="3640"/>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shd w:val="clear" w:color="000000" w:fill="FFFFFF"/>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项目</w:t>
                  </w:r>
                </w:p>
              </w:tc>
              <w:tc>
                <w:tcPr>
                  <w:tcW w:w="1231" w:type="dxa"/>
                  <w:shd w:val="clear" w:color="000000" w:fill="FFFFFF"/>
                  <w:noWrap w:val="0"/>
                  <w:vAlign w:val="center"/>
                </w:tcPr>
                <w:p>
                  <w:pPr>
                    <w:adjustRightInd/>
                    <w:snapToGrid/>
                    <w:spacing w:after="0"/>
                    <w:jc w:val="center"/>
                    <w:rPr>
                      <w:rFonts w:hint="eastAsia" w:ascii="宋体" w:hAnsi="宋体" w:cs="宋体"/>
                      <w:b/>
                      <w:bCs/>
                      <w:vanish/>
                      <w:color w:val="auto"/>
                      <w:sz w:val="18"/>
                      <w:szCs w:val="18"/>
                    </w:rPr>
                  </w:pPr>
                  <w:r>
                    <w:rPr>
                      <w:rFonts w:hint="eastAsia" w:ascii="宋体" w:hAnsi="宋体" w:cs="宋体"/>
                      <w:b/>
                      <w:bCs/>
                      <w:color w:val="auto"/>
                      <w:sz w:val="18"/>
                      <w:szCs w:val="18"/>
                    </w:rPr>
                    <w:t>监测点位及排放口编号</w:t>
                  </w:r>
                </w:p>
              </w:tc>
              <w:tc>
                <w:tcPr>
                  <w:tcW w:w="1220" w:type="dxa"/>
                  <w:shd w:val="clear" w:color="000000" w:fill="FFFFFF"/>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监测指标</w:t>
                  </w:r>
                </w:p>
              </w:tc>
              <w:tc>
                <w:tcPr>
                  <w:tcW w:w="3253" w:type="dxa"/>
                  <w:shd w:val="clear" w:color="000000" w:fill="FFFFFF"/>
                  <w:noWrap w:val="0"/>
                  <w:vAlign w:val="center"/>
                </w:tcPr>
                <w:p>
                  <w:pPr>
                    <w:adjustRightInd/>
                    <w:snapToGrid/>
                    <w:spacing w:after="0"/>
                    <w:jc w:val="center"/>
                    <w:rPr>
                      <w:rFonts w:hint="eastAsia" w:ascii="宋体" w:hAnsi="宋体" w:eastAsia="宋体" w:cs="宋体"/>
                      <w:b/>
                      <w:bCs/>
                      <w:color w:val="auto"/>
                      <w:sz w:val="18"/>
                      <w:szCs w:val="18"/>
                    </w:rPr>
                  </w:pPr>
                  <w:r>
                    <w:rPr>
                      <w:rFonts w:hint="eastAsia" w:ascii="宋体" w:hAnsi="宋体" w:cs="宋体"/>
                      <w:b/>
                      <w:bCs/>
                      <w:color w:val="auto"/>
                      <w:sz w:val="18"/>
                      <w:szCs w:val="18"/>
                    </w:rPr>
                    <w:t>执行标准</w:t>
                  </w:r>
                </w:p>
              </w:tc>
              <w:tc>
                <w:tcPr>
                  <w:tcW w:w="1274" w:type="dxa"/>
                  <w:shd w:val="clear" w:color="000000" w:fill="FFFFFF"/>
                  <w:noWrap w:val="0"/>
                  <w:vAlign w:val="center"/>
                </w:tcPr>
                <w:p>
                  <w:pPr>
                    <w:adjustRightInd/>
                    <w:snapToGrid/>
                    <w:spacing w:after="0"/>
                    <w:jc w:val="center"/>
                    <w:rPr>
                      <w:rFonts w:hint="eastAsia" w:ascii="宋体" w:hAnsi="宋体" w:cs="宋体"/>
                      <w:b/>
                      <w:bCs/>
                      <w:vanish/>
                      <w:color w:val="auto"/>
                      <w:sz w:val="18"/>
                      <w:szCs w:val="18"/>
                    </w:rPr>
                  </w:pPr>
                  <w:r>
                    <w:rPr>
                      <w:rFonts w:hint="eastAsia" w:ascii="宋体" w:hAnsi="宋体" w:cs="宋体"/>
                      <w:b/>
                      <w:bCs/>
                      <w:color w:val="auto"/>
                      <w:sz w:val="18"/>
                      <w:szCs w:val="18"/>
                    </w:rPr>
                    <w:t>许可排放限值mg/L</w:t>
                  </w:r>
                </w:p>
              </w:tc>
              <w:tc>
                <w:tcPr>
                  <w:tcW w:w="762"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监测方式</w:t>
                  </w:r>
                </w:p>
              </w:tc>
              <w:tc>
                <w:tcPr>
                  <w:tcW w:w="939"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监测频次</w:t>
                  </w:r>
                </w:p>
              </w:tc>
              <w:tc>
                <w:tcPr>
                  <w:tcW w:w="3640" w:type="dxa"/>
                  <w:noWrap w:val="0"/>
                  <w:vAlign w:val="center"/>
                </w:tcPr>
                <w:p>
                  <w:pPr>
                    <w:adjustRightInd/>
                    <w:snapToGrid/>
                    <w:spacing w:after="0"/>
                    <w:jc w:val="center"/>
                    <w:rPr>
                      <w:rFonts w:hint="eastAsia" w:ascii="宋体" w:hAnsi="宋体" w:cs="宋体"/>
                      <w:b/>
                      <w:bCs/>
                      <w:color w:val="auto"/>
                      <w:sz w:val="18"/>
                      <w:szCs w:val="18"/>
                    </w:rPr>
                  </w:pPr>
                  <w:r>
                    <w:rPr>
                      <w:rFonts w:hint="eastAsia" w:ascii="宋体" w:hAnsi="宋体" w:cs="宋体"/>
                      <w:b/>
                      <w:bCs/>
                      <w:color w:val="auto"/>
                      <w:sz w:val="18"/>
                      <w:szCs w:val="18"/>
                    </w:rPr>
                    <w:t>监测方法</w:t>
                  </w:r>
                </w:p>
              </w:tc>
              <w:tc>
                <w:tcPr>
                  <w:tcW w:w="1041" w:type="dxa"/>
                  <w:noWrap w:val="0"/>
                  <w:vAlign w:val="center"/>
                </w:tcPr>
                <w:p>
                  <w:pPr>
                    <w:pStyle w:val="2"/>
                    <w:jc w:val="center"/>
                    <w:rPr>
                      <w:rFonts w:hint="eastAsia" w:ascii="宋体" w:hAnsi="宋体" w:cs="宋体"/>
                      <w:b/>
                      <w:bCs/>
                      <w:color w:val="auto"/>
                      <w:sz w:val="18"/>
                      <w:szCs w:val="18"/>
                    </w:rPr>
                  </w:pPr>
                  <w:r>
                    <w:rPr>
                      <w:rFonts w:hint="eastAsia" w:ascii="宋体" w:hAnsi="宋体" w:eastAsia="宋体" w:cs="宋体"/>
                      <w:b/>
                      <w:bCs/>
                      <w:color w:val="auto"/>
                      <w:sz w:val="18"/>
                      <w:szCs w:val="18"/>
                    </w:rPr>
                    <w:t>采样方法</w:t>
                  </w:r>
                </w:p>
              </w:tc>
              <w:tc>
                <w:tcPr>
                  <w:tcW w:w="849" w:type="dxa"/>
                  <w:noWrap w:val="0"/>
                  <w:vAlign w:val="center"/>
                </w:tcPr>
                <w:p>
                  <w:pPr>
                    <w:adjustRightInd/>
                    <w:snapToGrid/>
                    <w:spacing w:after="0"/>
                    <w:jc w:val="center"/>
                    <w:rPr>
                      <w:rFonts w:hint="eastAsia" w:ascii="宋体" w:hAnsi="宋体" w:eastAsia="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restart"/>
                  <w:shd w:val="clear" w:color="auto" w:fill="auto"/>
                  <w:noWrap w:val="0"/>
                  <w:vAlign w:val="center"/>
                </w:tcPr>
                <w:p>
                  <w:pPr>
                    <w:adjustRightInd/>
                    <w:snapToGrid/>
                    <w:spacing w:after="0"/>
                    <w:jc w:val="center"/>
                    <w:rPr>
                      <w:rFonts w:hint="eastAsia" w:ascii="宋体" w:hAnsi="宋体" w:eastAsia="宋体" w:cs="宋体"/>
                      <w:color w:val="auto"/>
                      <w:sz w:val="18"/>
                      <w:szCs w:val="18"/>
                      <w:lang w:val="en-US" w:eastAsia="zh-CN"/>
                    </w:rPr>
                  </w:pPr>
                  <w:r>
                    <w:rPr>
                      <w:rFonts w:hint="eastAsia" w:ascii="宋体" w:hAnsi="宋体" w:cs="宋体"/>
                      <w:b/>
                      <w:bCs/>
                      <w:color w:val="auto"/>
                      <w:sz w:val="18"/>
                      <w:szCs w:val="18"/>
                      <w:lang w:val="en-US" w:eastAsia="zh-CN"/>
                    </w:rPr>
                    <w:t>废气</w:t>
                  </w:r>
                </w:p>
              </w:tc>
              <w:tc>
                <w:tcPr>
                  <w:tcW w:w="1231" w:type="dxa"/>
                  <w:vMerge w:val="restart"/>
                  <w:shd w:val="clear" w:color="auto" w:fill="auto"/>
                  <w:noWrap w:val="0"/>
                  <w:vAlign w:val="center"/>
                </w:tcPr>
                <w:p>
                  <w:pPr>
                    <w:adjustRightInd/>
                    <w:snapToGrid/>
                    <w:spacing w:after="0"/>
                    <w:jc w:val="center"/>
                    <w:rPr>
                      <w:rFonts w:hint="default"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废气排放口DA001</w:t>
                  </w:r>
                </w:p>
              </w:tc>
              <w:tc>
                <w:tcPr>
                  <w:tcW w:w="1220"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氯化氢</w:t>
                  </w:r>
                </w:p>
              </w:tc>
              <w:tc>
                <w:tcPr>
                  <w:tcW w:w="3253" w:type="dxa"/>
                  <w:vMerge w:val="restart"/>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《电镀污染物排放标准》</w:t>
                  </w:r>
                </w:p>
                <w:p>
                  <w:pPr>
                    <w:adjustRightInd/>
                    <w:snapToGrid/>
                    <w:spacing w:after="0"/>
                    <w:jc w:val="center"/>
                    <w:rPr>
                      <w:rFonts w:hint="eastAsia" w:ascii="宋体" w:hAnsi="宋体" w:cs="宋体"/>
                      <w:color w:val="auto"/>
                      <w:sz w:val="18"/>
                      <w:szCs w:val="18"/>
                    </w:rPr>
                  </w:pPr>
                  <w:r>
                    <w:rPr>
                      <w:rFonts w:ascii="宋体" w:hAnsi="宋体" w:cs="宋体"/>
                      <w:color w:val="auto"/>
                      <w:sz w:val="18"/>
                      <w:szCs w:val="18"/>
                    </w:rPr>
                    <w:t>GB21900-2008</w:t>
                  </w:r>
                </w:p>
              </w:tc>
              <w:tc>
                <w:tcPr>
                  <w:tcW w:w="127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30</w:t>
                  </w:r>
                </w:p>
              </w:tc>
              <w:tc>
                <w:tcPr>
                  <w:tcW w:w="762"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93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1次/半年</w:t>
                  </w:r>
                </w:p>
              </w:tc>
              <w:tc>
                <w:tcPr>
                  <w:tcW w:w="364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环境空气和废气 氯化氢的测定 离子色谱法HJ 549-2016代替HJ 549-2009</w:t>
                  </w:r>
                </w:p>
              </w:tc>
              <w:tc>
                <w:tcPr>
                  <w:tcW w:w="1041" w:type="dxa"/>
                  <w:vMerge w:val="restart"/>
                  <w:noWrap w:val="0"/>
                  <w:vAlign w:val="center"/>
                </w:tcPr>
                <w:p>
                  <w:pPr>
                    <w:adjustRightInd/>
                    <w:snapToGrid/>
                    <w:spacing w:after="0"/>
                    <w:jc w:val="both"/>
                    <w:rPr>
                      <w:rFonts w:ascii="宋体" w:hAnsi="宋体" w:cs="宋体"/>
                      <w:color w:val="auto"/>
                      <w:sz w:val="18"/>
                      <w:szCs w:val="18"/>
                    </w:rPr>
                  </w:pPr>
                  <w:r>
                    <w:rPr>
                      <w:rFonts w:hint="eastAsia" w:ascii="宋体" w:hAnsi="宋体" w:cs="宋体"/>
                      <w:color w:val="auto"/>
                      <w:sz w:val="18"/>
                      <w:szCs w:val="18"/>
                    </w:rPr>
                    <w:t>非连续采样至少3个</w:t>
                  </w:r>
                </w:p>
              </w:tc>
              <w:tc>
                <w:tcPr>
                  <w:tcW w:w="84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231" w:type="dxa"/>
                  <w:vMerge w:val="continue"/>
                  <w:shd w:val="clear" w:color="auto" w:fill="auto"/>
                  <w:noWrap w:val="0"/>
                  <w:vAlign w:val="center"/>
                </w:tcPr>
                <w:p>
                  <w:pPr>
                    <w:adjustRightInd/>
                    <w:snapToGrid/>
                    <w:spacing w:after="0"/>
                    <w:jc w:val="center"/>
                    <w:rPr>
                      <w:rFonts w:hint="eastAsia" w:ascii="宋体" w:hAnsi="宋体" w:cs="宋体"/>
                      <w:color w:val="auto"/>
                      <w:sz w:val="18"/>
                      <w:szCs w:val="18"/>
                    </w:rPr>
                  </w:pPr>
                </w:p>
              </w:tc>
              <w:tc>
                <w:tcPr>
                  <w:tcW w:w="1220"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硫酸雾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30</w:t>
                  </w:r>
                </w:p>
              </w:tc>
              <w:tc>
                <w:tcPr>
                  <w:tcW w:w="762"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93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1次/半年</w:t>
                  </w:r>
                </w:p>
              </w:tc>
              <w:tc>
                <w:tcPr>
                  <w:tcW w:w="3640"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固定污染源废气 硫酸雾监测方法,固定污染源废气 硫酸雾测定 离子色谱法（暂行）HJ 544－2009</w:t>
                  </w:r>
                </w:p>
              </w:tc>
              <w:tc>
                <w:tcPr>
                  <w:tcW w:w="1041" w:type="dxa"/>
                  <w:vMerge w:val="continue"/>
                  <w:noWrap w:val="0"/>
                  <w:vAlign w:val="top"/>
                </w:tcPr>
                <w:p>
                  <w:pPr>
                    <w:adjustRightInd/>
                    <w:snapToGrid/>
                    <w:spacing w:after="0"/>
                    <w:jc w:val="center"/>
                    <w:rPr>
                      <w:rFonts w:ascii="宋体" w:hAnsi="宋体" w:cs="宋体"/>
                      <w:color w:val="auto"/>
                      <w:sz w:val="18"/>
                      <w:szCs w:val="18"/>
                    </w:rPr>
                  </w:pPr>
                </w:p>
              </w:tc>
              <w:tc>
                <w:tcPr>
                  <w:tcW w:w="84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bl>
          <w:p>
            <w:pPr>
              <w:pStyle w:val="34"/>
              <w:ind w:firstLine="0" w:firstLineChars="0"/>
              <w:rPr>
                <w:rFonts w:hint="eastAsia" w:ascii="宋体" w:hAnsi="宋体" w:cs="宋体"/>
                <w:b/>
                <w:color w:val="auto"/>
                <w:sz w:val="23"/>
                <w:szCs w:val="23"/>
              </w:rPr>
            </w:pPr>
          </w:p>
          <w:p>
            <w:pPr>
              <w:pStyle w:val="34"/>
              <w:ind w:firstLine="0" w:firstLineChars="0"/>
              <w:rPr>
                <w:rFonts w:hint="eastAsia" w:ascii="宋体" w:hAnsi="宋体" w:cs="宋体"/>
                <w:b/>
                <w:bCs w:val="0"/>
                <w:color w:val="auto"/>
                <w:sz w:val="21"/>
                <w:szCs w:val="21"/>
              </w:rPr>
            </w:pPr>
            <w:r>
              <w:rPr>
                <w:rFonts w:hint="eastAsia" w:ascii="宋体" w:hAnsi="宋体" w:cs="宋体"/>
                <w:b/>
                <w:bCs w:val="0"/>
                <w:color w:val="auto"/>
                <w:sz w:val="18"/>
                <w:szCs w:val="18"/>
              </w:rPr>
              <w:t>3.3无组织废气及噪声监测项目、点位、频次及方法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项目</w:t>
                  </w:r>
                </w:p>
              </w:tc>
              <w:tc>
                <w:tcPr>
                  <w:tcW w:w="1167" w:type="dxa"/>
                  <w:shd w:val="clear" w:color="000000" w:fill="FFFFFF"/>
                  <w:noWrap w:val="0"/>
                  <w:vAlign w:val="center"/>
                </w:tcPr>
                <w:p>
                  <w:pPr>
                    <w:adjustRightInd/>
                    <w:snapToGrid/>
                    <w:spacing w:after="0"/>
                    <w:jc w:val="center"/>
                    <w:rPr>
                      <w:rFonts w:hint="eastAsia" w:ascii="宋体" w:hAnsi="宋体" w:cs="宋体"/>
                      <w:vanish/>
                      <w:color w:val="auto"/>
                      <w:sz w:val="18"/>
                      <w:szCs w:val="18"/>
                    </w:rPr>
                  </w:pPr>
                  <w:r>
                    <w:rPr>
                      <w:rFonts w:hint="eastAsia" w:ascii="宋体" w:hAnsi="宋体" w:cs="宋体"/>
                      <w:b/>
                      <w:bCs/>
                      <w:color w:val="auto"/>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监测指标</w:t>
                  </w:r>
                </w:p>
              </w:tc>
              <w:tc>
                <w:tcPr>
                  <w:tcW w:w="3253" w:type="dxa"/>
                  <w:shd w:val="clear" w:color="000000" w:fill="FFFFFF"/>
                  <w:noWrap w:val="0"/>
                  <w:vAlign w:val="center"/>
                </w:tcPr>
                <w:p>
                  <w:pPr>
                    <w:adjustRightInd/>
                    <w:snapToGrid/>
                    <w:spacing w:after="0"/>
                    <w:jc w:val="center"/>
                    <w:rPr>
                      <w:rFonts w:hint="eastAsia" w:ascii="宋体" w:hAnsi="宋体" w:eastAsia="宋体" w:cs="宋体"/>
                      <w:color w:val="auto"/>
                      <w:sz w:val="18"/>
                      <w:szCs w:val="18"/>
                    </w:rPr>
                  </w:pPr>
                  <w:r>
                    <w:rPr>
                      <w:rFonts w:hint="eastAsia" w:ascii="宋体" w:hAnsi="宋体" w:cs="宋体"/>
                      <w:b/>
                      <w:bCs/>
                      <w:color w:val="auto"/>
                      <w:sz w:val="18"/>
                      <w:szCs w:val="18"/>
                    </w:rPr>
                    <w:t>执行标准</w:t>
                  </w:r>
                </w:p>
              </w:tc>
              <w:tc>
                <w:tcPr>
                  <w:tcW w:w="1274" w:type="dxa"/>
                  <w:shd w:val="clear" w:color="000000" w:fill="FFFFFF"/>
                  <w:noWrap w:val="0"/>
                  <w:vAlign w:val="center"/>
                </w:tcPr>
                <w:p>
                  <w:pPr>
                    <w:adjustRightInd/>
                    <w:snapToGrid/>
                    <w:spacing w:after="0"/>
                    <w:jc w:val="center"/>
                    <w:rPr>
                      <w:rFonts w:hint="eastAsia" w:ascii="宋体" w:hAnsi="宋体" w:cs="宋体"/>
                      <w:vanish/>
                      <w:color w:val="auto"/>
                      <w:sz w:val="18"/>
                      <w:szCs w:val="18"/>
                    </w:rPr>
                  </w:pPr>
                  <w:r>
                    <w:rPr>
                      <w:rFonts w:hint="eastAsia" w:ascii="宋体" w:hAnsi="宋体" w:cs="宋体"/>
                      <w:b/>
                      <w:bCs/>
                      <w:color w:val="auto"/>
                      <w:sz w:val="18"/>
                      <w:szCs w:val="18"/>
                    </w:rPr>
                    <w:t>许可排放限值mg/L</w:t>
                  </w:r>
                </w:p>
              </w:tc>
              <w:tc>
                <w:tcPr>
                  <w:tcW w:w="762"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监测方式</w:t>
                  </w:r>
                </w:p>
              </w:tc>
              <w:tc>
                <w:tcPr>
                  <w:tcW w:w="1082"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监测频次</w:t>
                  </w:r>
                </w:p>
              </w:tc>
              <w:tc>
                <w:tcPr>
                  <w:tcW w:w="3497"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监测方法</w:t>
                  </w:r>
                </w:p>
              </w:tc>
              <w:tc>
                <w:tcPr>
                  <w:tcW w:w="1041" w:type="dxa"/>
                  <w:noWrap w:val="0"/>
                  <w:vAlign w:val="center"/>
                </w:tcPr>
                <w:p>
                  <w:pPr>
                    <w:pStyle w:val="2"/>
                    <w:jc w:val="center"/>
                    <w:rPr>
                      <w:rFonts w:hint="eastAsia" w:ascii="宋体" w:hAnsi="宋体" w:cs="宋体"/>
                      <w:color w:val="auto"/>
                      <w:sz w:val="18"/>
                      <w:szCs w:val="18"/>
                    </w:rPr>
                  </w:pPr>
                  <w:r>
                    <w:rPr>
                      <w:rFonts w:hint="eastAsia" w:ascii="宋体" w:hAnsi="宋体" w:eastAsia="宋体" w:cs="宋体"/>
                      <w:b/>
                      <w:bCs/>
                      <w:color w:val="auto"/>
                      <w:sz w:val="18"/>
                      <w:szCs w:val="18"/>
                    </w:rPr>
                    <w:t>采样方法</w:t>
                  </w:r>
                </w:p>
              </w:tc>
              <w:tc>
                <w:tcPr>
                  <w:tcW w:w="84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4" w:type="dxa"/>
                  <w:vMerge w:val="restart"/>
                  <w:shd w:val="clear" w:color="000000" w:fill="FFFFFF"/>
                  <w:noWrap w:val="0"/>
                  <w:vAlign w:val="center"/>
                </w:tcPr>
                <w:p>
                  <w:pPr>
                    <w:adjustRightInd/>
                    <w:snapToGrid/>
                    <w:spacing w:after="0"/>
                    <w:jc w:val="center"/>
                    <w:rPr>
                      <w:rFonts w:hint="eastAsia" w:ascii="宋体" w:hAnsi="宋体" w:cs="宋体"/>
                      <w:b/>
                      <w:color w:val="auto"/>
                      <w:sz w:val="18"/>
                      <w:szCs w:val="18"/>
                    </w:rPr>
                  </w:pPr>
                  <w:r>
                    <w:rPr>
                      <w:rFonts w:hint="eastAsia" w:ascii="宋体" w:hAnsi="宋体" w:cs="宋体"/>
                      <w:b/>
                      <w:color w:val="auto"/>
                      <w:sz w:val="18"/>
                      <w:szCs w:val="18"/>
                    </w:rPr>
                    <w:t>无组织废气</w:t>
                  </w:r>
                </w:p>
              </w:tc>
              <w:tc>
                <w:tcPr>
                  <w:tcW w:w="1167" w:type="dxa"/>
                  <w:vMerge w:val="restart"/>
                  <w:shd w:val="clear" w:color="000000" w:fill="FFFFFF"/>
                  <w:noWrap w:val="0"/>
                  <w:vAlign w:val="center"/>
                </w:tcPr>
                <w:p>
                  <w:pPr>
                    <w:pStyle w:val="2"/>
                    <w:jc w:val="center"/>
                    <w:rPr>
                      <w:rFonts w:hint="eastAsia" w:ascii="宋体" w:hAnsi="宋体" w:cs="宋体"/>
                      <w:color w:val="auto"/>
                      <w:sz w:val="18"/>
                      <w:szCs w:val="18"/>
                    </w:rPr>
                  </w:pPr>
                  <w:r>
                    <w:rPr>
                      <w:rFonts w:hint="eastAsia" w:ascii="宋体" w:hAnsi="宋体" w:eastAsia="宋体" w:cs="宋体"/>
                      <w:color w:val="auto"/>
                      <w:sz w:val="18"/>
                      <w:szCs w:val="18"/>
                    </w:rPr>
                    <w:t>厂界外1米（上风向1个点，下风向于浓度最高处设3个点）</w:t>
                  </w:r>
                </w:p>
              </w:tc>
              <w:tc>
                <w:tcPr>
                  <w:tcW w:w="128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氯化氢</w:t>
                  </w:r>
                </w:p>
              </w:tc>
              <w:tc>
                <w:tcPr>
                  <w:tcW w:w="3253" w:type="dxa"/>
                  <w:vMerge w:val="restart"/>
                  <w:shd w:val="clear" w:color="000000" w:fill="FFFFFF"/>
                  <w:noWrap w:val="0"/>
                  <w:vAlign w:val="center"/>
                </w:tcPr>
                <w:p>
                  <w:pPr>
                    <w:ind w:left="450" w:hanging="450" w:hangingChars="250"/>
                    <w:jc w:val="center"/>
                    <w:rPr>
                      <w:rFonts w:hint="eastAsia" w:ascii="宋体" w:hAnsi="宋体" w:cs="宋体"/>
                      <w:color w:val="auto"/>
                      <w:sz w:val="18"/>
                      <w:szCs w:val="18"/>
                    </w:rPr>
                  </w:pPr>
                  <w:r>
                    <w:rPr>
                      <w:rFonts w:hint="eastAsia" w:ascii="宋体" w:hAnsi="宋体" w:cs="宋体"/>
                      <w:color w:val="auto"/>
                      <w:sz w:val="18"/>
                      <w:szCs w:val="18"/>
                    </w:rPr>
                    <w:t>《大气污染物综合排放标准》GB16297-1996</w:t>
                  </w:r>
                </w:p>
              </w:tc>
              <w:tc>
                <w:tcPr>
                  <w:tcW w:w="127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0.2</w:t>
                  </w:r>
                </w:p>
              </w:tc>
              <w:tc>
                <w:tcPr>
                  <w:tcW w:w="762" w:type="dxa"/>
                  <w:vMerge w:val="restart"/>
                  <w:noWrap w:val="0"/>
                  <w:vAlign w:val="center"/>
                </w:tcPr>
                <w:p>
                  <w:pPr>
                    <w:adjustRightInd/>
                    <w:snapToGrid/>
                    <w:spacing w:after="0"/>
                    <w:jc w:val="center"/>
                    <w:rPr>
                      <w:rFonts w:hint="eastAsia" w:ascii="宋体" w:hAnsi="宋体" w:cs="宋体"/>
                      <w:color w:val="auto"/>
                      <w:sz w:val="18"/>
                      <w:szCs w:val="18"/>
                    </w:rPr>
                  </w:pPr>
                </w:p>
                <w:p>
                  <w:pPr>
                    <w:jc w:val="center"/>
                    <w:rPr>
                      <w:rFonts w:hint="eastAsia" w:ascii="宋体" w:hAnsi="宋体" w:cs="宋体"/>
                      <w:color w:val="auto"/>
                      <w:sz w:val="18"/>
                      <w:szCs w:val="18"/>
                    </w:rPr>
                  </w:pPr>
                  <w:r>
                    <w:rPr>
                      <w:rFonts w:hint="eastAsia" w:ascii="宋体" w:hAnsi="宋体" w:cs="宋体"/>
                      <w:color w:val="auto"/>
                      <w:sz w:val="18"/>
                      <w:szCs w:val="18"/>
                    </w:rPr>
                    <w:t>手工</w:t>
                  </w: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cs="宋体"/>
                      <w:color w:val="auto"/>
                      <w:sz w:val="18"/>
                      <w:szCs w:val="18"/>
                    </w:rPr>
                  </w:pPr>
                  <w:r>
                    <w:rPr>
                      <w:rFonts w:hint="eastAsia" w:ascii="宋体" w:hAnsi="宋体" w:cs="宋体"/>
                      <w:color w:val="auto"/>
                      <w:sz w:val="18"/>
                      <w:szCs w:val="18"/>
                    </w:rPr>
                    <w:t>1次/</w:t>
                  </w:r>
                  <w:r>
                    <w:rPr>
                      <w:rFonts w:hint="eastAsia" w:ascii="宋体" w:hAnsi="宋体" w:cs="宋体"/>
                      <w:color w:val="auto"/>
                      <w:sz w:val="18"/>
                      <w:szCs w:val="18"/>
                      <w:lang w:val="en-US" w:eastAsia="zh-CN"/>
                    </w:rPr>
                    <w:t>半</w:t>
                  </w:r>
                  <w:r>
                    <w:rPr>
                      <w:rFonts w:hint="eastAsia" w:ascii="宋体" w:hAnsi="宋体" w:cs="宋体"/>
                      <w:color w:val="auto"/>
                      <w:sz w:val="18"/>
                      <w:szCs w:val="18"/>
                    </w:rPr>
                    <w:t>年</w:t>
                  </w:r>
                </w:p>
              </w:tc>
              <w:tc>
                <w:tcPr>
                  <w:tcW w:w="3497"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环境空气和废气 氯化氢的测定 离子色谱法HJ 549-2016代替HJ 549-2009</w:t>
                  </w:r>
                </w:p>
              </w:tc>
              <w:tc>
                <w:tcPr>
                  <w:tcW w:w="1041" w:type="dxa"/>
                  <w:vMerge w:val="restart"/>
                  <w:noWrap w:val="0"/>
                  <w:vAlign w:val="center"/>
                </w:tcPr>
                <w:p>
                  <w:pPr>
                    <w:adjustRightInd/>
                    <w:snapToGrid/>
                    <w:spacing w:after="0"/>
                    <w:jc w:val="both"/>
                    <w:rPr>
                      <w:rFonts w:hint="eastAsia" w:ascii="宋体" w:hAnsi="宋体" w:cs="宋体"/>
                      <w:color w:val="auto"/>
                      <w:sz w:val="18"/>
                      <w:szCs w:val="18"/>
                    </w:rPr>
                  </w:pPr>
                  <w:r>
                    <w:rPr>
                      <w:rFonts w:hint="eastAsia" w:ascii="宋体" w:hAnsi="宋体" w:cs="宋体"/>
                      <w:color w:val="auto"/>
                      <w:sz w:val="18"/>
                      <w:szCs w:val="18"/>
                    </w:rPr>
                    <w:t>非连续采样至少3个</w:t>
                  </w:r>
                </w:p>
              </w:tc>
              <w:tc>
                <w:tcPr>
                  <w:tcW w:w="849" w:type="dxa"/>
                  <w:vMerge w:val="restart"/>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84" w:type="dxa"/>
                  <w:vMerge w:val="continue"/>
                  <w:shd w:val="clear" w:color="000000" w:fill="FFFFFF"/>
                  <w:noWrap w:val="0"/>
                  <w:vAlign w:val="center"/>
                </w:tcPr>
                <w:p>
                  <w:pPr>
                    <w:adjustRightInd/>
                    <w:snapToGrid/>
                    <w:spacing w:after="0"/>
                    <w:jc w:val="center"/>
                    <w:rPr>
                      <w:rFonts w:hint="eastAsia" w:ascii="宋体" w:hAnsi="宋体" w:cs="宋体"/>
                      <w:color w:val="auto"/>
                      <w:sz w:val="18"/>
                      <w:szCs w:val="18"/>
                    </w:rPr>
                  </w:pPr>
                </w:p>
              </w:tc>
              <w:tc>
                <w:tcPr>
                  <w:tcW w:w="1167" w:type="dxa"/>
                  <w:vMerge w:val="continue"/>
                  <w:shd w:val="clear" w:color="000000" w:fill="FFFFFF"/>
                  <w:noWrap w:val="0"/>
                  <w:vAlign w:val="center"/>
                </w:tcPr>
                <w:p>
                  <w:pPr>
                    <w:jc w:val="center"/>
                    <w:rPr>
                      <w:rFonts w:hint="eastAsia" w:ascii="宋体" w:hAnsi="宋体" w:cs="宋体"/>
                      <w:color w:val="auto"/>
                      <w:sz w:val="18"/>
                      <w:szCs w:val="18"/>
                    </w:rPr>
                  </w:pPr>
                </w:p>
              </w:tc>
              <w:tc>
                <w:tcPr>
                  <w:tcW w:w="1284" w:type="dxa"/>
                  <w:shd w:val="clear" w:color="000000" w:fill="FFFFFF"/>
                  <w:noWrap w:val="0"/>
                  <w:vAlign w:val="center"/>
                </w:tcPr>
                <w:p>
                  <w:pPr>
                    <w:adjustRightInd/>
                    <w:snapToGrid/>
                    <w:spacing w:after="0"/>
                    <w:ind w:firstLine="270" w:firstLineChars="150"/>
                    <w:jc w:val="both"/>
                    <w:rPr>
                      <w:rFonts w:hint="eastAsia" w:ascii="宋体" w:hAnsi="宋体" w:cs="宋体"/>
                      <w:color w:val="auto"/>
                      <w:sz w:val="18"/>
                      <w:szCs w:val="18"/>
                    </w:rPr>
                  </w:pPr>
                  <w:r>
                    <w:rPr>
                      <w:rFonts w:hint="eastAsia" w:ascii="宋体" w:hAnsi="宋体" w:cs="宋体"/>
                      <w:color w:val="auto"/>
                      <w:sz w:val="18"/>
                      <w:szCs w:val="18"/>
                    </w:rPr>
                    <w:t>硫酸雾</w:t>
                  </w:r>
                </w:p>
              </w:tc>
              <w:tc>
                <w:tcPr>
                  <w:tcW w:w="3253" w:type="dxa"/>
                  <w:vMerge w:val="continue"/>
                  <w:shd w:val="clear" w:color="000000" w:fill="FFFFFF"/>
                  <w:noWrap w:val="0"/>
                  <w:vAlign w:val="center"/>
                </w:tcPr>
                <w:p>
                  <w:pPr>
                    <w:jc w:val="center"/>
                    <w:rPr>
                      <w:rFonts w:hint="eastAsia" w:ascii="宋体" w:hAnsi="宋体" w:cs="宋体"/>
                      <w:color w:val="auto"/>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1.2</w:t>
                  </w:r>
                </w:p>
              </w:tc>
              <w:tc>
                <w:tcPr>
                  <w:tcW w:w="762" w:type="dxa"/>
                  <w:vMerge w:val="continue"/>
                  <w:noWrap w:val="0"/>
                  <w:vAlign w:val="center"/>
                </w:tcPr>
                <w:p>
                  <w:pPr>
                    <w:jc w:val="center"/>
                    <w:rPr>
                      <w:rFonts w:hint="eastAsia" w:ascii="宋体" w:hAnsi="宋体" w:cs="宋体"/>
                      <w:color w:val="auto"/>
                      <w:sz w:val="18"/>
                      <w:szCs w:val="18"/>
                    </w:rPr>
                  </w:pPr>
                </w:p>
              </w:tc>
              <w:tc>
                <w:tcPr>
                  <w:tcW w:w="10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cs="宋体"/>
                      <w:color w:val="auto"/>
                      <w:sz w:val="18"/>
                      <w:szCs w:val="18"/>
                    </w:rPr>
                  </w:pPr>
                  <w:r>
                    <w:rPr>
                      <w:rFonts w:hint="eastAsia" w:ascii="宋体" w:hAnsi="宋体" w:cs="宋体"/>
                      <w:color w:val="auto"/>
                      <w:sz w:val="18"/>
                      <w:szCs w:val="18"/>
                    </w:rPr>
                    <w:t>1次/</w:t>
                  </w:r>
                  <w:r>
                    <w:rPr>
                      <w:rFonts w:hint="eastAsia" w:ascii="宋体" w:hAnsi="宋体" w:cs="宋体"/>
                      <w:color w:val="auto"/>
                      <w:sz w:val="18"/>
                      <w:szCs w:val="18"/>
                      <w:lang w:val="en-US" w:eastAsia="zh-CN"/>
                    </w:rPr>
                    <w:t>半</w:t>
                  </w:r>
                  <w:r>
                    <w:rPr>
                      <w:rFonts w:hint="eastAsia" w:ascii="宋体" w:hAnsi="宋体" w:cs="宋体"/>
                      <w:color w:val="auto"/>
                      <w:sz w:val="18"/>
                      <w:szCs w:val="18"/>
                    </w:rPr>
                    <w:t>年</w:t>
                  </w:r>
                </w:p>
              </w:tc>
              <w:tc>
                <w:tcPr>
                  <w:tcW w:w="3497"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固定污染源废气 硫酸雾监测方法,固定污染源废气 硫酸雾测定 离子色谱法（暂行）HJ 544－2009</w:t>
                  </w:r>
                </w:p>
              </w:tc>
              <w:tc>
                <w:tcPr>
                  <w:tcW w:w="1041" w:type="dxa"/>
                  <w:vMerge w:val="continue"/>
                  <w:noWrap w:val="0"/>
                  <w:vAlign w:val="center"/>
                </w:tcPr>
                <w:p>
                  <w:pPr>
                    <w:adjustRightInd/>
                    <w:snapToGrid/>
                    <w:spacing w:after="0"/>
                    <w:jc w:val="center"/>
                    <w:rPr>
                      <w:rFonts w:hint="eastAsia" w:ascii="宋体" w:hAnsi="宋体" w:cs="宋体"/>
                      <w:color w:val="auto"/>
                      <w:sz w:val="18"/>
                      <w:szCs w:val="18"/>
                    </w:rPr>
                  </w:pPr>
                </w:p>
              </w:tc>
              <w:tc>
                <w:tcPr>
                  <w:tcW w:w="849" w:type="dxa"/>
                  <w:vMerge w:val="continue"/>
                  <w:noWrap w:val="0"/>
                  <w:vAlign w:val="center"/>
                </w:tcPr>
                <w:p>
                  <w:pPr>
                    <w:adjustRightInd/>
                    <w:snapToGrid/>
                    <w:spacing w:after="0"/>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84" w:type="dxa"/>
                  <w:shd w:val="clear" w:color="000000" w:fill="FFFFFF"/>
                  <w:noWrap w:val="0"/>
                  <w:vAlign w:val="center"/>
                </w:tcPr>
                <w:p>
                  <w:pPr>
                    <w:adjustRightInd/>
                    <w:snapToGrid/>
                    <w:spacing w:after="0"/>
                    <w:jc w:val="center"/>
                    <w:rPr>
                      <w:rFonts w:hint="eastAsia" w:ascii="宋体" w:hAnsi="宋体" w:cs="宋体"/>
                      <w:b/>
                      <w:color w:val="auto"/>
                      <w:sz w:val="18"/>
                      <w:szCs w:val="18"/>
                    </w:rPr>
                  </w:pPr>
                  <w:r>
                    <w:rPr>
                      <w:rFonts w:hint="eastAsia" w:ascii="宋体" w:hAnsi="宋体" w:cs="宋体"/>
                      <w:b/>
                      <w:color w:val="auto"/>
                      <w:sz w:val="18"/>
                      <w:szCs w:val="18"/>
                    </w:rPr>
                    <w:t>噪声</w:t>
                  </w:r>
                </w:p>
              </w:tc>
              <w:tc>
                <w:tcPr>
                  <w:tcW w:w="1167"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厂界四周</w:t>
                  </w:r>
                </w:p>
              </w:tc>
              <w:tc>
                <w:tcPr>
                  <w:tcW w:w="1284"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昼间噪声(厂界)</w:t>
                  </w:r>
                </w:p>
              </w:tc>
              <w:tc>
                <w:tcPr>
                  <w:tcW w:w="3253" w:type="dxa"/>
                  <w:shd w:val="clear" w:color="000000" w:fill="FFFFFF"/>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《工业企业厂界环境噪声排放标准》(GB12348-2008)3类</w:t>
                  </w:r>
                </w:p>
              </w:tc>
              <w:tc>
                <w:tcPr>
                  <w:tcW w:w="1274" w:type="dxa"/>
                  <w:shd w:val="clear" w:color="000000" w:fill="FFFFFF"/>
                  <w:noWrap w:val="0"/>
                  <w:vAlign w:val="center"/>
                </w:tcPr>
                <w:p>
                  <w:pPr>
                    <w:pStyle w:val="2"/>
                    <w:jc w:val="center"/>
                    <w:rPr>
                      <w:rFonts w:hint="eastAsia" w:ascii="宋体" w:hAnsi="宋体" w:eastAsia="宋体" w:cs="宋体"/>
                      <w:color w:val="auto"/>
                      <w:sz w:val="18"/>
                      <w:szCs w:val="18"/>
                    </w:rPr>
                  </w:pPr>
                </w:p>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日间</w:t>
                  </w:r>
                  <w:r>
                    <w:rPr>
                      <w:rFonts w:hint="eastAsia" w:ascii="宋体" w:hAnsi="宋体" w:eastAsia="宋体" w:cs="宋体"/>
                      <w:color w:val="auto"/>
                      <w:sz w:val="18"/>
                      <w:szCs w:val="18"/>
                    </w:rPr>
                    <w:t>65dB(A)</w:t>
                  </w:r>
                </w:p>
                <w:p>
                  <w:pPr>
                    <w:adjustRightInd/>
                    <w:snapToGrid/>
                    <w:spacing w:after="0"/>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夜间</w:t>
                  </w:r>
                  <w:r>
                    <w:rPr>
                      <w:rFonts w:hint="eastAsia" w:ascii="宋体" w:hAnsi="宋体" w:cs="宋体"/>
                      <w:color w:val="auto"/>
                      <w:sz w:val="18"/>
                      <w:szCs w:val="18"/>
                      <w:lang w:val="en-US" w:eastAsia="zh-CN"/>
                    </w:rPr>
                    <w:t>55dB</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A</w:t>
                  </w:r>
                  <w:r>
                    <w:rPr>
                      <w:rFonts w:hint="eastAsia" w:ascii="宋体" w:hAnsi="宋体" w:cs="宋体"/>
                      <w:color w:val="auto"/>
                      <w:sz w:val="18"/>
                      <w:szCs w:val="18"/>
                      <w:lang w:eastAsia="zh-CN"/>
                    </w:rPr>
                    <w:t>）</w:t>
                  </w:r>
                </w:p>
              </w:tc>
              <w:tc>
                <w:tcPr>
                  <w:tcW w:w="762" w:type="dxa"/>
                  <w:noWrap w:val="0"/>
                  <w:vAlign w:val="center"/>
                </w:tcPr>
                <w:p>
                  <w:pPr>
                    <w:adjustRightInd/>
                    <w:snapToGrid/>
                    <w:spacing w:after="0"/>
                    <w:jc w:val="center"/>
                    <w:rPr>
                      <w:rFonts w:hint="eastAsia" w:ascii="宋体" w:hAnsi="宋体" w:cs="宋体"/>
                      <w:color w:val="auto"/>
                      <w:sz w:val="18"/>
                      <w:szCs w:val="18"/>
                    </w:rPr>
                  </w:pPr>
                </w:p>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手工</w:t>
                  </w:r>
                </w:p>
              </w:tc>
              <w:tc>
                <w:tcPr>
                  <w:tcW w:w="1082" w:type="dxa"/>
                  <w:noWrap w:val="0"/>
                  <w:vAlign w:val="center"/>
                </w:tcPr>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1次/季度</w:t>
                  </w:r>
                </w:p>
                <w:p>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(昼间</w:t>
                  </w:r>
                  <w:r>
                    <w:rPr>
                      <w:rFonts w:hint="eastAsia" w:ascii="宋体" w:hAnsi="宋体" w:eastAsia="宋体" w:cs="宋体"/>
                      <w:color w:val="auto"/>
                      <w:sz w:val="18"/>
                      <w:szCs w:val="18"/>
                      <w:lang w:eastAsia="zh-CN"/>
                    </w:rPr>
                    <w:t>夜间各</w:t>
                  </w:r>
                  <w:r>
                    <w:rPr>
                      <w:rFonts w:hint="eastAsia" w:ascii="宋体" w:hAnsi="宋体" w:eastAsia="宋体" w:cs="宋体"/>
                      <w:color w:val="auto"/>
                      <w:sz w:val="18"/>
                      <w:szCs w:val="18"/>
                    </w:rPr>
                    <w:t>一次)</w:t>
                  </w:r>
                </w:p>
                <w:p>
                  <w:pPr>
                    <w:spacing w:after="0"/>
                    <w:jc w:val="center"/>
                    <w:rPr>
                      <w:rFonts w:hint="eastAsia" w:ascii="宋体" w:hAnsi="宋体" w:cs="宋体"/>
                      <w:color w:val="auto"/>
                      <w:sz w:val="18"/>
                      <w:szCs w:val="18"/>
                    </w:rPr>
                  </w:pPr>
                </w:p>
              </w:tc>
              <w:tc>
                <w:tcPr>
                  <w:tcW w:w="3497" w:type="dxa"/>
                  <w:noWrap w:val="0"/>
                  <w:vAlign w:val="center"/>
                </w:tcPr>
                <w:p>
                  <w:pPr>
                    <w:pStyle w:val="2"/>
                    <w:ind w:left="540" w:hanging="540" w:hangingChars="300"/>
                    <w:jc w:val="center"/>
                    <w:rPr>
                      <w:rFonts w:hint="eastAsia" w:ascii="宋体" w:hAnsi="宋体" w:eastAsia="宋体" w:cs="宋体"/>
                      <w:color w:val="auto"/>
                      <w:sz w:val="18"/>
                      <w:szCs w:val="18"/>
                    </w:rPr>
                  </w:pPr>
                  <w:r>
                    <w:rPr>
                      <w:rFonts w:hint="eastAsia" w:ascii="宋体" w:hAnsi="宋体" w:eastAsia="宋体" w:cs="宋体"/>
                      <w:color w:val="auto"/>
                      <w:sz w:val="18"/>
                      <w:szCs w:val="18"/>
                    </w:rPr>
                    <w:t>《工业企业厂界环境噪声排放标准》GB12348-2008</w:t>
                  </w:r>
                </w:p>
              </w:tc>
              <w:tc>
                <w:tcPr>
                  <w:tcW w:w="1041"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c>
                <w:tcPr>
                  <w:tcW w:w="849" w:type="dxa"/>
                  <w:noWrap w:val="0"/>
                  <w:vAlign w:val="center"/>
                </w:tcPr>
                <w:p>
                  <w:pPr>
                    <w:adjustRightInd/>
                    <w:snapToGrid/>
                    <w:spacing w:after="0"/>
                    <w:jc w:val="center"/>
                    <w:rPr>
                      <w:rFonts w:hint="eastAsia" w:ascii="宋体" w:hAnsi="宋体" w:cs="宋体"/>
                      <w:color w:val="auto"/>
                      <w:sz w:val="18"/>
                      <w:szCs w:val="18"/>
                    </w:rPr>
                  </w:pPr>
                  <w:r>
                    <w:rPr>
                      <w:rFonts w:hint="eastAsia" w:ascii="宋体" w:hAnsi="宋体" w:cs="宋体"/>
                      <w:color w:val="auto"/>
                      <w:sz w:val="18"/>
                      <w:szCs w:val="18"/>
                    </w:rPr>
                    <w:t>/</w:t>
                  </w:r>
                </w:p>
              </w:tc>
            </w:tr>
          </w:tbl>
          <w:p>
            <w:pPr>
              <w:spacing w:line="360" w:lineRule="auto"/>
              <w:rPr>
                <w:rFonts w:hint="eastAsia" w:ascii="宋体" w:hAnsi="宋体" w:cs="宋体"/>
                <w:b/>
                <w:color w:val="auto"/>
                <w:sz w:val="24"/>
              </w:rPr>
            </w:pPr>
            <w:r>
              <w:rPr>
                <w:rFonts w:hint="eastAsia" w:ascii="宋体" w:hAnsi="宋体" w:cs="宋体"/>
                <w:b/>
                <w:color w:val="auto"/>
                <w:sz w:val="24"/>
              </w:rPr>
              <w:t>3.4监测点位图</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cs="宋体"/>
                <w:b/>
                <w:sz w:val="24"/>
              </w:rPr>
            </w:pPr>
            <w:r>
              <w:rPr>
                <w:rFonts w:hint="eastAsia" w:ascii="宋体" w:hAnsi="宋体" w:eastAsia="宋体" w:cs="宋体"/>
                <w:b/>
                <w:color w:val="auto"/>
                <w:sz w:val="24"/>
                <w:lang w:val="en-US" w:eastAsia="zh-CN"/>
              </w:rPr>
              <w:drawing>
                <wp:inline distT="0" distB="0" distL="114300" distR="114300">
                  <wp:extent cx="6757670" cy="5452745"/>
                  <wp:effectExtent l="0" t="0" r="5080" b="14605"/>
                  <wp:docPr id="1" name="图片 1" descr="854fac44a65fd32441c286b3d9dc9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4fac44a65fd32441c286b3d9dc92c"/>
                          <pic:cNvPicPr>
                            <a:picLocks noChangeAspect="1"/>
                          </pic:cNvPicPr>
                        </pic:nvPicPr>
                        <pic:blipFill>
                          <a:blip r:embed="rId10"/>
                          <a:stretch>
                            <a:fillRect/>
                          </a:stretch>
                        </pic:blipFill>
                        <pic:spPr>
                          <a:xfrm>
                            <a:off x="0" y="0"/>
                            <a:ext cx="6757670" cy="5452745"/>
                          </a:xfrm>
                          <a:prstGeom prst="rect">
                            <a:avLst/>
                          </a:prstGeom>
                          <a:noFill/>
                          <a:ln>
                            <a:noFill/>
                          </a:ln>
                        </pic:spPr>
                      </pic:pic>
                    </a:graphicData>
                  </a:graphic>
                </wp:inline>
              </w:drawing>
            </w:r>
            <w:r>
              <w:rPr>
                <w:rFonts w:hint="eastAsia" w:ascii="宋体" w:hAnsi="宋体" w:cs="宋体"/>
                <w:b/>
                <w:sz w:val="24"/>
              </w:rPr>
              <w:t>4.监测质量保证和质量控制要求</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b/>
                <w:sz w:val="24"/>
              </w:rPr>
            </w:pPr>
            <w:r>
              <w:rPr>
                <w:rFonts w:hint="eastAsia" w:ascii="宋体" w:hAnsi="宋体" w:cs="宋体"/>
                <w:b/>
                <w:sz w:val="24"/>
              </w:rPr>
              <w:t>5.监测数据记录、整理、存档</w:t>
            </w:r>
          </w:p>
          <w:p>
            <w:pPr>
              <w:keepNext w:val="0"/>
              <w:keepLines w:val="0"/>
              <w:pageBreakBefore w:val="0"/>
              <w:widowControl/>
              <w:kinsoku/>
              <w:wordWrap/>
              <w:overflowPunct/>
              <w:topLinePunct w:val="0"/>
              <w:autoSpaceDE/>
              <w:autoSpaceDN/>
              <w:bidi w:val="0"/>
              <w:adjustRightInd w:val="0"/>
              <w:snapToGrid w:val="0"/>
              <w:spacing w:after="0" w:line="360" w:lineRule="auto"/>
              <w:ind w:firstLine="552" w:firstLineChars="200"/>
              <w:jc w:val="both"/>
              <w:textAlignment w:val="auto"/>
              <w:rPr>
                <w:rFonts w:hint="eastAsia" w:ascii="宋体" w:hAnsi="宋体" w:cs="宋体"/>
                <w:spacing w:val="18"/>
                <w:sz w:val="24"/>
                <w:szCs w:val="24"/>
              </w:rPr>
            </w:pPr>
            <w:r>
              <w:rPr>
                <w:rFonts w:hint="eastAsia" w:ascii="宋体" w:hAnsi="宋体" w:cs="宋体"/>
                <w:spacing w:val="18"/>
                <w:sz w:val="24"/>
                <w:szCs w:val="24"/>
              </w:rPr>
              <w:t>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w:t>
            </w:r>
            <w:r>
              <w:rPr>
                <w:rFonts w:hint="eastAsia" w:ascii="宋体" w:hAnsi="宋体" w:cs="宋体"/>
                <w:spacing w:val="18"/>
                <w:sz w:val="24"/>
                <w:szCs w:val="24"/>
                <w:lang w:val="en-US" w:eastAsia="zh-CN"/>
              </w:rPr>
              <w:t>5</w:t>
            </w:r>
            <w:r>
              <w:rPr>
                <w:rFonts w:hint="eastAsia" w:ascii="宋体" w:hAnsi="宋体" w:cs="宋体"/>
                <w:spacing w:val="18"/>
                <w:sz w:val="24"/>
                <w:szCs w:val="24"/>
              </w:rPr>
              <w:t>年。</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cs="宋体"/>
                <w:b/>
                <w:sz w:val="24"/>
              </w:rPr>
            </w:pPr>
            <w:r>
              <w:rPr>
                <w:rFonts w:hint="eastAsia" w:ascii="宋体" w:hAnsi="宋体" w:cs="宋体"/>
                <w:b/>
                <w:sz w:val="24"/>
              </w:rPr>
              <w:t>6 .信息公开</w:t>
            </w:r>
          </w:p>
          <w:p>
            <w:pPr>
              <w:keepNext w:val="0"/>
              <w:keepLines w:val="0"/>
              <w:pageBreakBefore w:val="0"/>
              <w:widowControl/>
              <w:kinsoku/>
              <w:wordWrap/>
              <w:overflowPunct/>
              <w:topLinePunct w:val="0"/>
              <w:autoSpaceDE/>
              <w:autoSpaceDN/>
              <w:bidi w:val="0"/>
              <w:adjustRightInd w:val="0"/>
              <w:snapToGrid w:val="0"/>
              <w:spacing w:after="0" w:line="360" w:lineRule="auto"/>
              <w:ind w:firstLine="527" w:firstLineChars="191"/>
              <w:jc w:val="both"/>
              <w:textAlignment w:val="auto"/>
              <w:rPr>
                <w:rFonts w:ascii="仿宋_GB2312" w:eastAsia="仿宋_GB2312"/>
                <w:szCs w:val="28"/>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 包括企业基本信息、自行监测方案、自行监测结果、未开展自行监测原因、污染源监测年度报告以及其他应当依法公开的环境信息。</w:t>
            </w:r>
          </w:p>
        </w:tc>
      </w:tr>
    </w:tbl>
    <w:p>
      <w:pPr>
        <w:spacing w:line="560" w:lineRule="exact"/>
      </w:pPr>
      <w:r>
        <w:rPr>
          <w:rFonts w:hint="eastAsia" w:eastAsia="黑体"/>
          <w:sz w:val="32"/>
          <w:szCs w:val="32"/>
        </w:rPr>
        <w:t>七、对职工进行的环境保护培训状况</w:t>
      </w:r>
    </w:p>
    <w:p>
      <w:pPr>
        <w:widowControl/>
        <w:jc w:val="left"/>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公司每年对员工进行培训:</w:t>
            </w:r>
          </w:p>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sz w:val="32"/>
                <w:szCs w:val="32"/>
              </w:rPr>
            </w:pPr>
            <w:r>
              <w:rPr>
                <w:rFonts w:hint="eastAsia" w:ascii="仿宋" w:hAnsi="仿宋" w:eastAsia="仿宋" w:cs="仿宋"/>
                <w:kern w:val="0"/>
                <w:sz w:val="32"/>
                <w:szCs w:val="32"/>
                <w:lang w:val="en-US" w:eastAsia="zh-CN" w:bidi="ar"/>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keepNext w:val="0"/>
              <w:keepLines w:val="0"/>
              <w:widowControl/>
              <w:suppressLineNumbers w:val="0"/>
              <w:spacing w:before="100" w:beforeAutospacing="1" w:after="100" w:afterAutospacing="1" w:line="560" w:lineRule="exact"/>
              <w:ind w:left="0" w:right="0"/>
              <w:jc w:val="center"/>
            </w:pPr>
            <w:r>
              <w:rPr>
                <w:rFonts w:hint="default" w:ascii="等线" w:hAnsi="等线" w:eastAsia="仿宋_GB2312" w:cs="等线"/>
                <w:kern w:val="2"/>
                <w:sz w:val="28"/>
                <w:szCs w:val="28"/>
                <w:lang w:val="en-US" w:eastAsia="zh-CN" w:bidi="ar"/>
              </w:rPr>
              <w:t> </w:t>
            </w: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numPr>
          <w:ilvl w:val="0"/>
          <w:numId w:val="1"/>
        </w:numPr>
        <w:spacing w:line="560" w:lineRule="exact"/>
        <w:rPr>
          <w:rFonts w:hint="eastAsia" w:eastAsia="黑体"/>
          <w:sz w:val="32"/>
          <w:szCs w:val="32"/>
        </w:rPr>
      </w:pPr>
      <w:r>
        <w:rPr>
          <w:rFonts w:hint="eastAsia" w:eastAsia="黑体"/>
          <w:sz w:val="32"/>
          <w:szCs w:val="32"/>
        </w:rPr>
        <w:t>其他应当公开的环境信息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r>
              <w:rPr>
                <w:rStyle w:val="15"/>
                <w:rFonts w:hint="eastAsia" w:cs="Times New Roman"/>
                <w:kern w:val="2"/>
                <w:sz w:val="21"/>
                <w:lang w:val="en-US" w:eastAsia="zh-CN" w:bidi="ar-SA"/>
              </w:rPr>
              <w:t>无</w:t>
            </w: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2"/>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abstractNum w:abstractNumId="1">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A0A0C"/>
    <w:rsid w:val="010C6BAD"/>
    <w:rsid w:val="013E1821"/>
    <w:rsid w:val="02B90D8E"/>
    <w:rsid w:val="02CC60EB"/>
    <w:rsid w:val="02E55E48"/>
    <w:rsid w:val="030B63A0"/>
    <w:rsid w:val="038B6C58"/>
    <w:rsid w:val="03C10485"/>
    <w:rsid w:val="052955DA"/>
    <w:rsid w:val="058F5FC0"/>
    <w:rsid w:val="06357962"/>
    <w:rsid w:val="06524D89"/>
    <w:rsid w:val="06B95A33"/>
    <w:rsid w:val="06DE09DF"/>
    <w:rsid w:val="070B668D"/>
    <w:rsid w:val="072B244C"/>
    <w:rsid w:val="07805F5A"/>
    <w:rsid w:val="093C6FEA"/>
    <w:rsid w:val="0A2157CF"/>
    <w:rsid w:val="0A48791E"/>
    <w:rsid w:val="0AAA590F"/>
    <w:rsid w:val="0AF6182E"/>
    <w:rsid w:val="0B8C0A02"/>
    <w:rsid w:val="0D2E4C78"/>
    <w:rsid w:val="0D373D58"/>
    <w:rsid w:val="0D53059E"/>
    <w:rsid w:val="0D583CAD"/>
    <w:rsid w:val="0E4B790E"/>
    <w:rsid w:val="0E722DF1"/>
    <w:rsid w:val="0E7F2D46"/>
    <w:rsid w:val="0F055926"/>
    <w:rsid w:val="0F8D601A"/>
    <w:rsid w:val="0FAD60F3"/>
    <w:rsid w:val="0FEA0B2D"/>
    <w:rsid w:val="10083F74"/>
    <w:rsid w:val="100B7BF3"/>
    <w:rsid w:val="102D2B7D"/>
    <w:rsid w:val="10461AF8"/>
    <w:rsid w:val="10D568F9"/>
    <w:rsid w:val="114A7C6E"/>
    <w:rsid w:val="11C95013"/>
    <w:rsid w:val="12597751"/>
    <w:rsid w:val="12607967"/>
    <w:rsid w:val="13907235"/>
    <w:rsid w:val="14902DE0"/>
    <w:rsid w:val="150E16C8"/>
    <w:rsid w:val="152D1270"/>
    <w:rsid w:val="15665ADA"/>
    <w:rsid w:val="16605F57"/>
    <w:rsid w:val="16EB44D5"/>
    <w:rsid w:val="171E7BBB"/>
    <w:rsid w:val="179A6AD9"/>
    <w:rsid w:val="181E31A7"/>
    <w:rsid w:val="1927334D"/>
    <w:rsid w:val="19C47869"/>
    <w:rsid w:val="1A027B1F"/>
    <w:rsid w:val="1A2129B3"/>
    <w:rsid w:val="1A801565"/>
    <w:rsid w:val="1A944B14"/>
    <w:rsid w:val="1AE93B1B"/>
    <w:rsid w:val="1B38662E"/>
    <w:rsid w:val="1BBA192B"/>
    <w:rsid w:val="1BD05417"/>
    <w:rsid w:val="1E066E89"/>
    <w:rsid w:val="1E5408BE"/>
    <w:rsid w:val="1E561621"/>
    <w:rsid w:val="1F6B3698"/>
    <w:rsid w:val="1F78570D"/>
    <w:rsid w:val="1FF0628A"/>
    <w:rsid w:val="2155566D"/>
    <w:rsid w:val="216D37EA"/>
    <w:rsid w:val="21983295"/>
    <w:rsid w:val="21DD425A"/>
    <w:rsid w:val="21F01266"/>
    <w:rsid w:val="242A1BA0"/>
    <w:rsid w:val="24520CF3"/>
    <w:rsid w:val="254D4979"/>
    <w:rsid w:val="26DD5073"/>
    <w:rsid w:val="28173ADD"/>
    <w:rsid w:val="28253008"/>
    <w:rsid w:val="2848098A"/>
    <w:rsid w:val="28AE550B"/>
    <w:rsid w:val="29263201"/>
    <w:rsid w:val="2A140F46"/>
    <w:rsid w:val="2A4209CE"/>
    <w:rsid w:val="2A9B3790"/>
    <w:rsid w:val="2AAF4B3F"/>
    <w:rsid w:val="2B7E319F"/>
    <w:rsid w:val="2BBB52C1"/>
    <w:rsid w:val="2CBA495C"/>
    <w:rsid w:val="2CF517D3"/>
    <w:rsid w:val="2D320340"/>
    <w:rsid w:val="2D5653ED"/>
    <w:rsid w:val="2DF94540"/>
    <w:rsid w:val="2F4910A0"/>
    <w:rsid w:val="2F7C53CF"/>
    <w:rsid w:val="2FE61DA5"/>
    <w:rsid w:val="302B3DFE"/>
    <w:rsid w:val="32F60A51"/>
    <w:rsid w:val="339E6325"/>
    <w:rsid w:val="3477661A"/>
    <w:rsid w:val="34EF08EA"/>
    <w:rsid w:val="351A1B36"/>
    <w:rsid w:val="35347E5C"/>
    <w:rsid w:val="357C3016"/>
    <w:rsid w:val="3641657F"/>
    <w:rsid w:val="365E067E"/>
    <w:rsid w:val="36967B0F"/>
    <w:rsid w:val="37197EAF"/>
    <w:rsid w:val="384F25AE"/>
    <w:rsid w:val="39767DA7"/>
    <w:rsid w:val="398B7E3D"/>
    <w:rsid w:val="3A221DD3"/>
    <w:rsid w:val="3BAB49E7"/>
    <w:rsid w:val="3BAF56C1"/>
    <w:rsid w:val="3BB657C0"/>
    <w:rsid w:val="3C916821"/>
    <w:rsid w:val="3C9F0324"/>
    <w:rsid w:val="3E285F9E"/>
    <w:rsid w:val="3E28611D"/>
    <w:rsid w:val="405448EF"/>
    <w:rsid w:val="40F9220F"/>
    <w:rsid w:val="413E3847"/>
    <w:rsid w:val="4153458B"/>
    <w:rsid w:val="41C04ADA"/>
    <w:rsid w:val="41DD49D5"/>
    <w:rsid w:val="42656A49"/>
    <w:rsid w:val="42A133CC"/>
    <w:rsid w:val="436A4C1C"/>
    <w:rsid w:val="44124E41"/>
    <w:rsid w:val="443D433E"/>
    <w:rsid w:val="47F47D36"/>
    <w:rsid w:val="48A3497C"/>
    <w:rsid w:val="48DD7E23"/>
    <w:rsid w:val="493C65B5"/>
    <w:rsid w:val="49632A0D"/>
    <w:rsid w:val="49DF3234"/>
    <w:rsid w:val="4A3A12BA"/>
    <w:rsid w:val="4A762B0E"/>
    <w:rsid w:val="4AA5518A"/>
    <w:rsid w:val="4AA8049B"/>
    <w:rsid w:val="4B16537F"/>
    <w:rsid w:val="4C594757"/>
    <w:rsid w:val="4D096CC1"/>
    <w:rsid w:val="4D481CEC"/>
    <w:rsid w:val="4DF95D54"/>
    <w:rsid w:val="4E2F73D0"/>
    <w:rsid w:val="4E5A12D9"/>
    <w:rsid w:val="4F8322EA"/>
    <w:rsid w:val="4FB524F0"/>
    <w:rsid w:val="501A68F7"/>
    <w:rsid w:val="50790041"/>
    <w:rsid w:val="507E1AFC"/>
    <w:rsid w:val="50952214"/>
    <w:rsid w:val="50AB1C08"/>
    <w:rsid w:val="50AE519E"/>
    <w:rsid w:val="51492906"/>
    <w:rsid w:val="518E23AA"/>
    <w:rsid w:val="51BF6359"/>
    <w:rsid w:val="531A6557"/>
    <w:rsid w:val="537A1F97"/>
    <w:rsid w:val="53D045E4"/>
    <w:rsid w:val="53DD5A41"/>
    <w:rsid w:val="5475552D"/>
    <w:rsid w:val="55BF6BFB"/>
    <w:rsid w:val="55F67B88"/>
    <w:rsid w:val="56083A20"/>
    <w:rsid w:val="57D62FF5"/>
    <w:rsid w:val="590435D7"/>
    <w:rsid w:val="59070A6D"/>
    <w:rsid w:val="590B7F02"/>
    <w:rsid w:val="59477D6F"/>
    <w:rsid w:val="594C1A6B"/>
    <w:rsid w:val="59A94644"/>
    <w:rsid w:val="59EA6123"/>
    <w:rsid w:val="5A4B23CD"/>
    <w:rsid w:val="5AAA3A4D"/>
    <w:rsid w:val="5B9156FA"/>
    <w:rsid w:val="5D445F0F"/>
    <w:rsid w:val="5E250C96"/>
    <w:rsid w:val="5E2E5847"/>
    <w:rsid w:val="5E6F6ED5"/>
    <w:rsid w:val="5E9C1E27"/>
    <w:rsid w:val="5F7A4C5D"/>
    <w:rsid w:val="5FA9130F"/>
    <w:rsid w:val="600C5A71"/>
    <w:rsid w:val="60583943"/>
    <w:rsid w:val="60656DAB"/>
    <w:rsid w:val="60AE0527"/>
    <w:rsid w:val="61BF73D7"/>
    <w:rsid w:val="623601A4"/>
    <w:rsid w:val="624D1AA5"/>
    <w:rsid w:val="62E67CBB"/>
    <w:rsid w:val="62FC213B"/>
    <w:rsid w:val="63837975"/>
    <w:rsid w:val="63C265F5"/>
    <w:rsid w:val="64A76AAF"/>
    <w:rsid w:val="64B43DF7"/>
    <w:rsid w:val="64D7521C"/>
    <w:rsid w:val="65816D3A"/>
    <w:rsid w:val="65D22C57"/>
    <w:rsid w:val="661C4D4C"/>
    <w:rsid w:val="679E6DD3"/>
    <w:rsid w:val="67B13757"/>
    <w:rsid w:val="687365C5"/>
    <w:rsid w:val="68887BFA"/>
    <w:rsid w:val="69C51D0E"/>
    <w:rsid w:val="6A1D4C59"/>
    <w:rsid w:val="6AA10360"/>
    <w:rsid w:val="6B514801"/>
    <w:rsid w:val="6B7E2792"/>
    <w:rsid w:val="6D1B2D9B"/>
    <w:rsid w:val="6D7B2CA6"/>
    <w:rsid w:val="6DC7655A"/>
    <w:rsid w:val="6DDF674F"/>
    <w:rsid w:val="6E9D3662"/>
    <w:rsid w:val="6EC5521F"/>
    <w:rsid w:val="6F211B8F"/>
    <w:rsid w:val="6F56673C"/>
    <w:rsid w:val="6FCF20D0"/>
    <w:rsid w:val="70CF32BE"/>
    <w:rsid w:val="71C9367F"/>
    <w:rsid w:val="71FB5C42"/>
    <w:rsid w:val="721660FE"/>
    <w:rsid w:val="72201501"/>
    <w:rsid w:val="73F33B39"/>
    <w:rsid w:val="74090916"/>
    <w:rsid w:val="748F1D9A"/>
    <w:rsid w:val="74EE34AF"/>
    <w:rsid w:val="754C1749"/>
    <w:rsid w:val="757E0439"/>
    <w:rsid w:val="75BC330E"/>
    <w:rsid w:val="77545EF3"/>
    <w:rsid w:val="7784677C"/>
    <w:rsid w:val="77C4324D"/>
    <w:rsid w:val="77C97A97"/>
    <w:rsid w:val="78C751FA"/>
    <w:rsid w:val="78F62FD2"/>
    <w:rsid w:val="7A0E7069"/>
    <w:rsid w:val="7B0F5121"/>
    <w:rsid w:val="7B2C15BE"/>
    <w:rsid w:val="7B554567"/>
    <w:rsid w:val="7B756C9A"/>
    <w:rsid w:val="7C525F1B"/>
    <w:rsid w:val="7D2716C3"/>
    <w:rsid w:val="7D8458A3"/>
    <w:rsid w:val="7DB316F8"/>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keepNext/>
      <w:keepLines/>
      <w:spacing w:before="340" w:after="330" w:line="578" w:lineRule="auto"/>
      <w:jc w:val="center"/>
      <w:outlineLvl w:val="0"/>
    </w:pPr>
    <w:rPr>
      <w:b/>
      <w:kern w:val="44"/>
      <w:sz w:val="32"/>
    </w:rPr>
  </w:style>
  <w:style w:type="paragraph" w:styleId="4">
    <w:name w:val="heading 2"/>
    <w:basedOn w:val="1"/>
    <w:next w:val="1"/>
    <w:link w:val="21"/>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23"/>
    <w:qFormat/>
    <w:uiPriority w:val="99"/>
    <w:pPr>
      <w:keepNext/>
      <w:keepLines/>
      <w:spacing w:before="260" w:after="260" w:line="416" w:lineRule="auto"/>
      <w:outlineLvl w:val="2"/>
    </w:pPr>
    <w:rPr>
      <w:sz w:val="28"/>
    </w:rPr>
  </w:style>
  <w:style w:type="paragraph" w:styleId="6">
    <w:name w:val="heading 4"/>
    <w:basedOn w:val="1"/>
    <w:next w:val="1"/>
    <w:link w:val="17"/>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99"/>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8">
    <w:name w:val="Plain Text"/>
    <w:basedOn w:val="1"/>
    <w:link w:val="18"/>
    <w:qFormat/>
    <w:uiPriority w:val="99"/>
    <w:pPr>
      <w:adjustRightInd w:val="0"/>
      <w:spacing w:line="312" w:lineRule="atLeast"/>
      <w:textAlignment w:val="baseline"/>
    </w:pPr>
    <w:rPr>
      <w:rFonts w:ascii="宋体" w:hAnsi="Courier New"/>
      <w:kern w:val="0"/>
      <w:szCs w:val="20"/>
    </w:rPr>
  </w:style>
  <w:style w:type="paragraph" w:styleId="9">
    <w:name w:val="Balloon Text"/>
    <w:basedOn w:val="1"/>
    <w:link w:val="20"/>
    <w:qFormat/>
    <w:uiPriority w:val="99"/>
    <w:rPr>
      <w:sz w:val="18"/>
      <w:szCs w:val="18"/>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locked/>
    <w:uiPriority w:val="39"/>
    <w:pPr>
      <w:ind w:left="420" w:leftChars="200"/>
    </w:pPr>
  </w:style>
  <w:style w:type="paragraph" w:styleId="13">
    <w:name w:val="Normal (Web)"/>
    <w:basedOn w:val="1"/>
    <w:qFormat/>
    <w:uiPriority w:val="99"/>
    <w:pPr>
      <w:spacing w:before="100" w:beforeAutospacing="1" w:after="100" w:afterAutospacing="1"/>
      <w:jc w:val="left"/>
    </w:pPr>
    <w:rPr>
      <w:rFonts w:ascii="宋体" w:hAnsi="宋体"/>
      <w:kern w:val="0"/>
      <w:sz w:val="24"/>
    </w:rPr>
  </w:style>
  <w:style w:type="character" w:customStyle="1" w:styleId="16">
    <w:name w:val="Footer Char"/>
    <w:basedOn w:val="15"/>
    <w:link w:val="10"/>
    <w:qFormat/>
    <w:locked/>
    <w:uiPriority w:val="99"/>
    <w:rPr>
      <w:rFonts w:ascii="Calibri" w:hAnsi="Calibri" w:eastAsia="宋体" w:cs="Times New Roman"/>
      <w:sz w:val="18"/>
      <w:szCs w:val="18"/>
    </w:rPr>
  </w:style>
  <w:style w:type="character" w:customStyle="1" w:styleId="17">
    <w:name w:val="Heading 4 Char"/>
    <w:basedOn w:val="15"/>
    <w:link w:val="6"/>
    <w:semiHidden/>
    <w:qFormat/>
    <w:uiPriority w:val="9"/>
    <w:rPr>
      <w:rFonts w:ascii="Cambria" w:hAnsi="Cambria" w:eastAsia="宋体" w:cs="Times New Roman"/>
      <w:b/>
      <w:bCs/>
      <w:sz w:val="28"/>
      <w:szCs w:val="28"/>
    </w:rPr>
  </w:style>
  <w:style w:type="character" w:customStyle="1" w:styleId="18">
    <w:name w:val="Plain Text Char"/>
    <w:basedOn w:val="15"/>
    <w:link w:val="8"/>
    <w:semiHidden/>
    <w:qFormat/>
    <w:uiPriority w:val="99"/>
    <w:rPr>
      <w:rFonts w:ascii="宋体" w:hAnsi="Courier New" w:cs="Courier New"/>
      <w:szCs w:val="21"/>
    </w:rPr>
  </w:style>
  <w:style w:type="character" w:customStyle="1" w:styleId="19">
    <w:name w:val="Heading 1 Char"/>
    <w:basedOn w:val="15"/>
    <w:link w:val="3"/>
    <w:qFormat/>
    <w:uiPriority w:val="9"/>
    <w:rPr>
      <w:rFonts w:ascii="Calibri" w:hAnsi="Calibri"/>
      <w:b/>
      <w:bCs/>
      <w:kern w:val="44"/>
      <w:sz w:val="44"/>
      <w:szCs w:val="44"/>
    </w:rPr>
  </w:style>
  <w:style w:type="character" w:customStyle="1" w:styleId="20">
    <w:name w:val="Balloon Text Char"/>
    <w:basedOn w:val="15"/>
    <w:link w:val="9"/>
    <w:semiHidden/>
    <w:qFormat/>
    <w:locked/>
    <w:uiPriority w:val="99"/>
    <w:rPr>
      <w:rFonts w:ascii="Calibri" w:hAnsi="Calibri" w:eastAsia="宋体" w:cs="Times New Roman"/>
      <w:kern w:val="2"/>
      <w:sz w:val="18"/>
      <w:szCs w:val="18"/>
    </w:rPr>
  </w:style>
  <w:style w:type="character" w:customStyle="1" w:styleId="21">
    <w:name w:val="Heading 2 Char"/>
    <w:basedOn w:val="15"/>
    <w:link w:val="4"/>
    <w:semiHidden/>
    <w:qFormat/>
    <w:uiPriority w:val="9"/>
    <w:rPr>
      <w:rFonts w:ascii="Cambria" w:hAnsi="Cambria" w:eastAsia="宋体" w:cs="Times New Roman"/>
      <w:b/>
      <w:bCs/>
      <w:sz w:val="32"/>
      <w:szCs w:val="32"/>
    </w:rPr>
  </w:style>
  <w:style w:type="character" w:customStyle="1" w:styleId="22">
    <w:name w:val="Header Char"/>
    <w:basedOn w:val="15"/>
    <w:link w:val="11"/>
    <w:qFormat/>
    <w:locked/>
    <w:uiPriority w:val="99"/>
    <w:rPr>
      <w:rFonts w:ascii="Calibri" w:hAnsi="Calibri" w:eastAsia="宋体" w:cs="Times New Roman"/>
      <w:sz w:val="18"/>
      <w:szCs w:val="18"/>
    </w:rPr>
  </w:style>
  <w:style w:type="character" w:customStyle="1" w:styleId="23">
    <w:name w:val="Heading 3 Char"/>
    <w:basedOn w:val="15"/>
    <w:link w:val="5"/>
    <w:semiHidden/>
    <w:qFormat/>
    <w:uiPriority w:val="9"/>
    <w:rPr>
      <w:rFonts w:ascii="Calibri" w:hAnsi="Calibri"/>
      <w:b/>
      <w:bCs/>
      <w:sz w:val="32"/>
      <w:szCs w:val="32"/>
    </w:rPr>
  </w:style>
  <w:style w:type="paragraph" w:customStyle="1" w:styleId="24">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2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6">
    <w:name w:val="1级标题"/>
    <w:basedOn w:val="1"/>
    <w:qFormat/>
    <w:uiPriority w:val="99"/>
    <w:pPr>
      <w:spacing w:before="60" w:line="460" w:lineRule="exact"/>
      <w:outlineLvl w:val="0"/>
    </w:pPr>
    <w:rPr>
      <w:b/>
      <w:sz w:val="32"/>
    </w:rPr>
  </w:style>
  <w:style w:type="paragraph" w:customStyle="1" w:styleId="27">
    <w:name w:val="正文001"/>
    <w:basedOn w:val="1"/>
    <w:qFormat/>
    <w:uiPriority w:val="99"/>
    <w:pPr>
      <w:spacing w:before="60" w:line="460" w:lineRule="exact"/>
      <w:ind w:firstLine="200" w:firstLineChars="200"/>
    </w:pPr>
    <w:rPr>
      <w:rFonts w:ascii="Arial" w:hAnsi="Arial"/>
      <w:sz w:val="24"/>
      <w:szCs w:val="20"/>
    </w:rPr>
  </w:style>
  <w:style w:type="paragraph" w:customStyle="1" w:styleId="28">
    <w:name w:val="三级标题"/>
    <w:basedOn w:val="29"/>
    <w:qFormat/>
    <w:uiPriority w:val="99"/>
    <w:pPr>
      <w:spacing w:before="300"/>
      <w:ind w:firstLine="0" w:firstLineChars="0"/>
      <w:outlineLvl w:val="2"/>
    </w:pPr>
    <w:rPr>
      <w:b/>
    </w:rPr>
  </w:style>
  <w:style w:type="paragraph" w:customStyle="1" w:styleId="29">
    <w:name w:val="正文01"/>
    <w:basedOn w:val="1"/>
    <w:qFormat/>
    <w:uiPriority w:val="99"/>
    <w:pPr>
      <w:spacing w:before="60" w:line="460" w:lineRule="exact"/>
      <w:ind w:firstLine="200" w:firstLineChars="200"/>
    </w:pPr>
    <w:rPr>
      <w:sz w:val="24"/>
    </w:rPr>
  </w:style>
  <w:style w:type="paragraph" w:customStyle="1" w:styleId="30">
    <w:name w:val="报告正文"/>
    <w:basedOn w:val="1"/>
    <w:qFormat/>
    <w:uiPriority w:val="99"/>
    <w:pPr>
      <w:spacing w:line="480" w:lineRule="exact"/>
      <w:ind w:firstLine="200" w:firstLineChars="200"/>
    </w:pPr>
    <w:rPr>
      <w:sz w:val="24"/>
    </w:rPr>
  </w:style>
  <w:style w:type="paragraph" w:customStyle="1" w:styleId="31">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32">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样式 正文001 + Times New Roman"/>
    <w:basedOn w:val="27"/>
    <w:qFormat/>
    <w:uiPriority w:val="99"/>
    <w:pPr>
      <w:ind w:firstLine="482" w:firstLineChars="0"/>
    </w:pPr>
    <w:rPr>
      <w:rFonts w:ascii="Calibri" w:hAnsi="Calibri"/>
      <w:szCs w:val="22"/>
    </w:rPr>
  </w:style>
  <w:style w:type="paragraph" w:styleId="34">
    <w:name w:val="List Paragraph"/>
    <w:basedOn w:val="1"/>
    <w:qFormat/>
    <w:uiPriority w:val="34"/>
    <w:pPr>
      <w:ind w:firstLine="420" w:firstLineChars="200"/>
    </w:pPr>
  </w:style>
  <w:style w:type="paragraph" w:customStyle="1" w:styleId="35">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6">
    <w:name w:val="2级标题"/>
    <w:basedOn w:val="1"/>
    <w:qFormat/>
    <w:uiPriority w:val="99"/>
    <w:pPr>
      <w:spacing w:before="60" w:line="460" w:lineRule="exact"/>
      <w:outlineLvl w:val="1"/>
    </w:pPr>
    <w:rPr>
      <w:b/>
      <w:sz w:val="28"/>
    </w:rPr>
  </w:style>
  <w:style w:type="paragraph" w:customStyle="1" w:styleId="37">
    <w:name w:val="3级标题"/>
    <w:basedOn w:val="1"/>
    <w:qFormat/>
    <w:uiPriority w:val="99"/>
    <w:pPr>
      <w:spacing w:before="300" w:line="460" w:lineRule="exact"/>
      <w:outlineLvl w:val="2"/>
    </w:pPr>
    <w:rPr>
      <w:rFonts w:ascii="Arial" w:hAnsi="Arial"/>
      <w:b/>
      <w:sz w:val="24"/>
    </w:rPr>
  </w:style>
  <w:style w:type="paragraph" w:customStyle="1" w:styleId="38">
    <w:name w:val="0"/>
    <w:basedOn w:val="1"/>
    <w:qFormat/>
    <w:uiPriority w:val="99"/>
    <w:pPr>
      <w:widowControl/>
      <w:snapToGrid w:val="0"/>
      <w:jc w:val="left"/>
    </w:pPr>
    <w:rPr>
      <w:kern w:val="0"/>
      <w:sz w:val="20"/>
      <w:szCs w:val="20"/>
    </w:rPr>
  </w:style>
  <w:style w:type="paragraph" w:customStyle="1" w:styleId="39">
    <w:name w:val="reader-word-layer reader-word-s5-1 reader-word-s5-10"/>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2020-05-18T06:39:00Z</cp:lastPrinted>
  <dcterms:modified xsi:type="dcterms:W3CDTF">2021-11-11T03:14:37Z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B120D53FCB8A4C59A80FBCD23AA52C22</vt:lpwstr>
  </property>
</Properties>
</file>