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白沟镇农业综合服务中心</w:t>
      </w:r>
    </w:p>
    <w:p>
      <w:pPr>
        <w:jc w:val="center"/>
        <w:rPr>
          <w:rFonts w:hint="eastAsia"/>
          <w:lang w:val="en-US" w:eastAsia="zh-CN"/>
        </w:rPr>
      </w:pPr>
      <w:r>
        <w:rPr>
          <w:rFonts w:hint="eastAsia" w:asciiTheme="majorEastAsia" w:hAnsiTheme="majorEastAsia" w:eastAsiaTheme="majorEastAsia" w:cstheme="majorEastAsia"/>
          <w:b/>
          <w:bCs/>
          <w:sz w:val="44"/>
          <w:szCs w:val="44"/>
          <w:lang w:val="en-US" w:eastAsia="zh-CN"/>
        </w:rPr>
        <w:t>关于2022年巩固拓展脱贫攻坚成果和乡村振兴项目库建设的公告</w:t>
      </w: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全面落实习近平总书记进一步巩固拓展脱贫攻坚成果的重要讲话精神，严格落实“四个不摘”要求，持续发展壮大扶贫产业，加强资金资产项目管理，建立健全资产管理制度，持续发挥衔接资金效益，确保我区2022年扶贫项目顺利实施，拟建立我区2022年巩固拓展脱贫攻坚成果项目库。经管委会研究决定，同意将资产收益、</w:t>
      </w:r>
      <w:r>
        <w:rPr>
          <w:rFonts w:hint="eastAsia" w:ascii="仿宋" w:hAnsi="仿宋" w:eastAsia="仿宋" w:cs="仿宋"/>
          <w:b w:val="0"/>
          <w:bCs w:val="0"/>
          <w:sz w:val="32"/>
          <w:szCs w:val="32"/>
          <w:lang w:val="en-US" w:eastAsia="zh-CN"/>
        </w:rPr>
        <w:t>“雨露计划”、小额信贷贴息等项目纳入白沟新城2022年</w:t>
      </w:r>
      <w:r>
        <w:rPr>
          <w:rFonts w:hint="eastAsia" w:ascii="仿宋" w:hAnsi="仿宋" w:eastAsia="仿宋" w:cs="仿宋"/>
          <w:sz w:val="32"/>
          <w:szCs w:val="32"/>
          <w:lang w:val="en-US" w:eastAsia="zh-CN"/>
        </w:rPr>
        <w:t>巩固拓展脱贫攻坚成果和乡村振兴项目库。</w:t>
      </w:r>
    </w:p>
    <w:p>
      <w:p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一、项目类别</w:t>
      </w:r>
    </w:p>
    <w:p>
      <w:pPr>
        <w:ind w:firstLine="643"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1.资产收益项目。</w:t>
      </w:r>
      <w:r>
        <w:rPr>
          <w:rFonts w:hint="eastAsia" w:ascii="仿宋" w:hAnsi="仿宋" w:eastAsia="仿宋" w:cs="仿宋"/>
          <w:sz w:val="32"/>
          <w:szCs w:val="32"/>
          <w:lang w:val="en-US" w:eastAsia="zh-CN"/>
        </w:rPr>
        <w:t>资金来源为省、市、区衔接资金。将衔接资金投入到市场前景较好、经营效益稳定的产业项目，合理确定资产收益，实行差异化分配，带动脱贫户和防贫监测户稳定增收。预计安排财政衔接资金1079.7万元。</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b/>
          <w:bCs/>
          <w:sz w:val="32"/>
          <w:szCs w:val="32"/>
          <w:lang w:val="en-US" w:eastAsia="zh-CN"/>
        </w:rPr>
        <w:t>“雨露计划”项目</w:t>
      </w:r>
      <w:r>
        <w:rPr>
          <w:rFonts w:hint="eastAsia" w:ascii="仿宋" w:hAnsi="仿宋" w:eastAsia="仿宋" w:cs="仿宋"/>
          <w:sz w:val="32"/>
          <w:szCs w:val="32"/>
          <w:lang w:val="en-US" w:eastAsia="zh-CN"/>
        </w:rPr>
        <w:t>。资金来源为区级财政衔接资金。</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为中高等职业学校在校建档立卡脱贫家庭学生，每人每学年补贴3000元，每学年分秋季学期、春季学期两期发放，每学期发放1500元。预计安排衔接资金0.3万元。</w:t>
      </w:r>
      <w:bookmarkStart w:id="0" w:name="_GoBack"/>
      <w:bookmarkEnd w:id="0"/>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b/>
          <w:bCs/>
          <w:sz w:val="32"/>
          <w:szCs w:val="32"/>
          <w:lang w:val="en-US" w:eastAsia="zh-CN"/>
        </w:rPr>
        <w:t>小额信贷贴息项目。</w:t>
      </w:r>
      <w:r>
        <w:rPr>
          <w:rFonts w:hint="eastAsia" w:ascii="仿宋" w:hAnsi="仿宋" w:eastAsia="仿宋" w:cs="仿宋"/>
          <w:sz w:val="32"/>
          <w:szCs w:val="32"/>
          <w:lang w:val="en-US" w:eastAsia="zh-CN"/>
        </w:rPr>
        <w:t>资金来源为区级财政衔接资金，支持脱贫劳动力用于发展产业的小额贷款给予贴息补助，促进在乡脱贫劳动力发展产业增收。每户最高可贷款5万元，按照同期贷款基准利率给予全额贴息。预计安排财政衔接资金0.3万元。</w:t>
      </w:r>
    </w:p>
    <w:p>
      <w:p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二、受益对象</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受益对象为全区建档立卡脱贫户和防贫监测户。</w:t>
      </w:r>
    </w:p>
    <w:p>
      <w:pPr>
        <w:numPr>
          <w:ilvl w:val="0"/>
          <w:numId w:val="1"/>
        </w:num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项目监督单位</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白沟镇农业综合服务中心、金融办。</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如对以上公示内容有异议，请来电来函，国务院扶贫监督举报平台12317（同电话），本级监督电话2889831。本级通讯地址：白沟镇富强路318号白沟新城巩固拓展脱贫攻坚成果工作领导小组办公室。</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特此公告！</w:t>
      </w:r>
    </w:p>
    <w:p>
      <w:pPr>
        <w:numPr>
          <w:ilvl w:val="0"/>
          <w:numId w:val="0"/>
        </w:numPr>
        <w:ind w:firstLine="2880" w:firstLineChars="900"/>
        <w:rPr>
          <w:rFonts w:hint="eastAsia" w:ascii="仿宋" w:hAnsi="仿宋" w:eastAsia="仿宋" w:cs="仿宋"/>
          <w:sz w:val="32"/>
          <w:szCs w:val="32"/>
          <w:lang w:val="en-US" w:eastAsia="zh-CN"/>
        </w:rPr>
      </w:pPr>
    </w:p>
    <w:p>
      <w:pPr>
        <w:numPr>
          <w:ilvl w:val="0"/>
          <w:numId w:val="0"/>
        </w:numPr>
        <w:ind w:firstLine="2880" w:firstLineChars="900"/>
        <w:rPr>
          <w:rFonts w:hint="eastAsia" w:ascii="仿宋" w:hAnsi="仿宋" w:eastAsia="仿宋" w:cs="仿宋"/>
          <w:sz w:val="32"/>
          <w:szCs w:val="32"/>
          <w:lang w:val="en-US" w:eastAsia="zh-CN"/>
        </w:rPr>
      </w:pPr>
    </w:p>
    <w:p>
      <w:pPr>
        <w:numPr>
          <w:ilvl w:val="0"/>
          <w:numId w:val="0"/>
        </w:numPr>
        <w:ind w:firstLine="2880" w:firstLineChars="900"/>
        <w:rPr>
          <w:rFonts w:hint="eastAsia" w:ascii="仿宋" w:hAnsi="仿宋" w:eastAsia="仿宋" w:cs="仿宋"/>
          <w:sz w:val="32"/>
          <w:szCs w:val="32"/>
          <w:lang w:val="en-US" w:eastAsia="zh-CN"/>
        </w:rPr>
      </w:pPr>
    </w:p>
    <w:p>
      <w:pPr>
        <w:numPr>
          <w:ilvl w:val="0"/>
          <w:numId w:val="0"/>
        </w:numPr>
        <w:ind w:firstLine="2880" w:firstLineChars="900"/>
        <w:rPr>
          <w:rFonts w:hint="eastAsia" w:ascii="仿宋" w:hAnsi="仿宋" w:eastAsia="仿宋" w:cs="仿宋"/>
          <w:sz w:val="32"/>
          <w:szCs w:val="32"/>
          <w:lang w:val="en-US" w:eastAsia="zh-CN"/>
        </w:rPr>
      </w:pPr>
    </w:p>
    <w:p>
      <w:pPr>
        <w:numPr>
          <w:ilvl w:val="0"/>
          <w:numId w:val="0"/>
        </w:numPr>
        <w:ind w:firstLine="2880" w:firstLineChars="900"/>
        <w:rPr>
          <w:rFonts w:hint="eastAsia" w:ascii="仿宋" w:hAnsi="仿宋" w:eastAsia="仿宋" w:cs="仿宋"/>
          <w:sz w:val="32"/>
          <w:szCs w:val="32"/>
          <w:lang w:val="en-US" w:eastAsia="zh-CN"/>
        </w:rPr>
      </w:pPr>
    </w:p>
    <w:p>
      <w:pPr>
        <w:numPr>
          <w:ilvl w:val="0"/>
          <w:numId w:val="0"/>
        </w:numPr>
        <w:ind w:left="5750" w:leftChars="1976" w:hanging="1600" w:hangingChars="5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白沟镇农业综合服务中心</w:t>
      </w:r>
    </w:p>
    <w:p>
      <w:pPr>
        <w:numPr>
          <w:ilvl w:val="0"/>
          <w:numId w:val="0"/>
        </w:numPr>
        <w:ind w:left="5748" w:leftChars="2280" w:hanging="960" w:hangingChars="3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2021年12月1日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8281E5"/>
    <w:multiLevelType w:val="singleLevel"/>
    <w:tmpl w:val="D38281E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B0778"/>
    <w:rsid w:val="064452A4"/>
    <w:rsid w:val="0BBB0D02"/>
    <w:rsid w:val="0D643BE4"/>
    <w:rsid w:val="16B965DF"/>
    <w:rsid w:val="183C4D5F"/>
    <w:rsid w:val="2FBB0778"/>
    <w:rsid w:val="32D85BE7"/>
    <w:rsid w:val="3B2C16E8"/>
    <w:rsid w:val="4CC05437"/>
    <w:rsid w:val="55B12344"/>
    <w:rsid w:val="55DF1AA8"/>
    <w:rsid w:val="7D831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2021-11-15T07:06:00Z</dcterms:created>
  <dc:creator>伴着爱前行</dc:creator>
  <cp:lastModifiedBy>DELL</cp:lastModifiedBy>
  <cp:lastPrinted>2021-12-13T09:11:34Z</cp:lastPrinted>
  <dcterms:modified xsi:type="dcterms:W3CDTF">2021-12-13T09:39:04Z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FFC6B810B1D64B53803B864981FBC2B3</vt:lpwstr>
  </property>
</Properties>
</file>