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2160" w:firstLineChars="600"/>
        <w:rPr>
          <w:rFonts w:hint="eastAsia" w:eastAsia="方正小标宋简体" w:cs="Times New Roman"/>
          <w:sz w:val="44"/>
          <w:szCs w:val="44"/>
        </w:rPr>
      </w:pPr>
      <w:r>
        <w:rPr>
          <w:rFonts w:hint="eastAsia" w:eastAsia="方正小标宋简体" w:cs="方正小标宋简体"/>
          <w:sz w:val="36"/>
          <w:szCs w:val="36"/>
        </w:rPr>
        <w:t>企业事业单位环境信息公开表</w:t>
      </w:r>
    </w:p>
    <w:p>
      <w:pPr>
        <w:spacing w:line="560" w:lineRule="exact"/>
        <w:ind w:firstLine="320" w:firstLineChars="100"/>
        <w:jc w:val="left"/>
        <w:rPr>
          <w:rFonts w:hint="eastAsia" w:eastAsia="黑体" w:cs="Times New Roman"/>
          <w:sz w:val="32"/>
          <w:szCs w:val="32"/>
        </w:rPr>
      </w:pPr>
      <w:r>
        <w:rPr>
          <w:rFonts w:hint="eastAsia" w:eastAsia="黑体" w:cs="黑体"/>
          <w:sz w:val="32"/>
          <w:szCs w:val="32"/>
        </w:rPr>
        <w:t>一、基础信息</w:t>
      </w:r>
    </w:p>
    <w:tbl>
      <w:tblPr>
        <w:tblStyle w:val="26"/>
        <w:tblW w:w="964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552"/>
        <w:gridCol w:w="19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pacing w:line="620" w:lineRule="exact"/>
              <w:jc w:val="center"/>
              <w:rPr>
                <w:rFonts w:hint="eastAsia" w:eastAsia="仿宋_GB2312" w:cs="Times New Roman"/>
                <w:sz w:val="28"/>
                <w:szCs w:val="28"/>
              </w:rPr>
            </w:pPr>
            <w:r>
              <w:rPr>
                <w:rFonts w:hint="eastAsia" w:eastAsia="仿宋_GB2312" w:cs="仿宋_GB2312"/>
                <w:sz w:val="28"/>
                <w:szCs w:val="28"/>
              </w:rPr>
              <w:t>单位名称</w:t>
            </w:r>
          </w:p>
        </w:tc>
        <w:tc>
          <w:tcPr>
            <w:tcW w:w="7371" w:type="dxa"/>
            <w:gridSpan w:val="3"/>
          </w:tcPr>
          <w:p>
            <w:pPr>
              <w:spacing w:line="620" w:lineRule="exact"/>
              <w:jc w:val="center"/>
              <w:rPr>
                <w:rFonts w:hint="default" w:eastAsia="仿宋_GB2312" w:cs="仿宋_GB2312"/>
                <w:sz w:val="28"/>
                <w:szCs w:val="28"/>
                <w:lang w:val="en-US" w:eastAsia="zh-CN"/>
              </w:rPr>
            </w:pPr>
            <w:r>
              <w:rPr>
                <w:rFonts w:hint="eastAsia" w:eastAsia="仿宋_GB2312" w:cs="仿宋_GB2312"/>
                <w:sz w:val="28"/>
                <w:szCs w:val="28"/>
                <w:lang w:val="en-US" w:eastAsia="zh-CN"/>
              </w:rPr>
              <w:t>高碑店市信德百利革业有限公司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pacing w:line="620" w:lineRule="exact"/>
              <w:jc w:val="center"/>
              <w:rPr>
                <w:rFonts w:hint="eastAsia" w:eastAsia="仿宋_GB2312" w:cs="Times New Roman"/>
                <w:sz w:val="28"/>
                <w:szCs w:val="28"/>
              </w:rPr>
            </w:pPr>
            <w:r>
              <w:rPr>
                <w:rFonts w:hint="eastAsia" w:eastAsia="仿宋_GB2312" w:cs="仿宋_GB2312"/>
                <w:sz w:val="28"/>
                <w:szCs w:val="28"/>
              </w:rPr>
              <w:t>组织机构代码</w:t>
            </w:r>
          </w:p>
        </w:tc>
        <w:tc>
          <w:tcPr>
            <w:tcW w:w="2552" w:type="dxa"/>
          </w:tcPr>
          <w:p>
            <w:pPr>
              <w:spacing w:line="620" w:lineRule="exact"/>
              <w:jc w:val="center"/>
              <w:rPr>
                <w:rFonts w:hint="default" w:eastAsia="仿宋_GB2312" w:cs="仿宋_GB2312"/>
                <w:sz w:val="28"/>
                <w:szCs w:val="28"/>
                <w:lang w:val="en-US" w:eastAsia="zh-CN"/>
              </w:rPr>
            </w:pPr>
            <w:r>
              <w:rPr>
                <w:rFonts w:hint="eastAsia" w:eastAsia="仿宋_GB2312" w:cs="仿宋_GB2312"/>
                <w:sz w:val="28"/>
                <w:szCs w:val="28"/>
                <w:lang w:val="en-US" w:eastAsia="zh-CN"/>
              </w:rPr>
              <w:t>911306116665720803</w:t>
            </w:r>
          </w:p>
        </w:tc>
        <w:tc>
          <w:tcPr>
            <w:tcW w:w="1984" w:type="dxa"/>
          </w:tcPr>
          <w:p>
            <w:pPr>
              <w:spacing w:line="620" w:lineRule="exact"/>
              <w:jc w:val="center"/>
              <w:rPr>
                <w:rFonts w:hint="eastAsia" w:eastAsia="仿宋_GB2312" w:cs="仿宋_GB2312"/>
                <w:sz w:val="28"/>
                <w:szCs w:val="28"/>
              </w:rPr>
            </w:pPr>
            <w:r>
              <w:rPr>
                <w:rFonts w:hint="eastAsia" w:eastAsia="仿宋_GB2312" w:cs="仿宋_GB2312"/>
                <w:sz w:val="28"/>
                <w:szCs w:val="28"/>
              </w:rPr>
              <w:t>法定代表人</w:t>
            </w:r>
          </w:p>
        </w:tc>
        <w:tc>
          <w:tcPr>
            <w:tcW w:w="2835" w:type="dxa"/>
          </w:tcPr>
          <w:p>
            <w:pPr>
              <w:spacing w:line="620" w:lineRule="exact"/>
              <w:jc w:val="center"/>
              <w:rPr>
                <w:rFonts w:hint="eastAsia" w:eastAsia="仿宋_GB2312" w:cs="仿宋_GB2312"/>
                <w:sz w:val="28"/>
                <w:szCs w:val="28"/>
                <w:lang w:eastAsia="zh-CN"/>
              </w:rPr>
            </w:pPr>
            <w:r>
              <w:rPr>
                <w:rFonts w:hint="eastAsia" w:eastAsia="仿宋_GB2312" w:cs="仿宋_GB2312"/>
                <w:sz w:val="28"/>
                <w:szCs w:val="28"/>
                <w:lang w:eastAsia="zh-CN"/>
              </w:rPr>
              <w:t>刘宝利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pacing w:line="620" w:lineRule="exact"/>
              <w:jc w:val="center"/>
              <w:rPr>
                <w:rFonts w:hint="eastAsia" w:eastAsia="仿宋_GB2312" w:cs="Times New Roman"/>
                <w:sz w:val="28"/>
                <w:szCs w:val="28"/>
              </w:rPr>
            </w:pPr>
            <w:r>
              <w:rPr>
                <w:rFonts w:hint="eastAsia" w:eastAsia="仿宋_GB2312" w:cs="仿宋_GB2312"/>
                <w:sz w:val="28"/>
                <w:szCs w:val="28"/>
              </w:rPr>
              <w:t>生产地址</w:t>
            </w:r>
          </w:p>
        </w:tc>
        <w:tc>
          <w:tcPr>
            <w:tcW w:w="2552" w:type="dxa"/>
            <w:vAlign w:val="center"/>
          </w:tcPr>
          <w:p>
            <w:pPr>
              <w:spacing w:line="620" w:lineRule="exact"/>
              <w:jc w:val="center"/>
              <w:rPr>
                <w:rFonts w:hint="default" w:eastAsia="仿宋_GB2312" w:cs="仿宋_GB2312"/>
                <w:sz w:val="28"/>
                <w:szCs w:val="28"/>
                <w:highlight w:val="none"/>
                <w:lang w:val="en-US" w:eastAsia="zh-CN"/>
              </w:rPr>
            </w:pPr>
            <w:r>
              <w:rPr>
                <w:rFonts w:hint="eastAsia" w:eastAsia="仿宋_GB2312" w:cs="仿宋_GB2312"/>
                <w:sz w:val="28"/>
                <w:szCs w:val="28"/>
                <w:highlight w:val="none"/>
                <w:lang w:val="en-US" w:eastAsia="zh-CN"/>
              </w:rPr>
              <w:t>保定市白沟工业园区</w:t>
            </w:r>
          </w:p>
        </w:tc>
        <w:tc>
          <w:tcPr>
            <w:tcW w:w="1984" w:type="dxa"/>
          </w:tcPr>
          <w:p>
            <w:pPr>
              <w:spacing w:line="620" w:lineRule="exact"/>
              <w:jc w:val="center"/>
              <w:rPr>
                <w:rFonts w:hint="eastAsia" w:eastAsia="仿宋_GB2312" w:cs="仿宋_GB2312"/>
                <w:sz w:val="28"/>
                <w:szCs w:val="28"/>
                <w:highlight w:val="none"/>
              </w:rPr>
            </w:pPr>
            <w:r>
              <w:rPr>
                <w:rFonts w:hint="eastAsia" w:eastAsia="仿宋_GB2312" w:cs="仿宋_GB2312"/>
                <w:sz w:val="28"/>
                <w:szCs w:val="28"/>
                <w:highlight w:val="none"/>
              </w:rPr>
              <w:t>生产周期</w:t>
            </w:r>
          </w:p>
        </w:tc>
        <w:tc>
          <w:tcPr>
            <w:tcW w:w="2835" w:type="dxa"/>
            <w:vAlign w:val="center"/>
          </w:tcPr>
          <w:p>
            <w:pPr>
              <w:spacing w:line="620" w:lineRule="exact"/>
              <w:jc w:val="center"/>
              <w:rPr>
                <w:rFonts w:hint="default" w:eastAsia="仿宋_GB2312" w:cs="仿宋_GB2312"/>
                <w:sz w:val="28"/>
                <w:szCs w:val="28"/>
                <w:highlight w:val="yellow"/>
                <w:lang w:val="en-US" w:eastAsia="zh-CN"/>
              </w:rPr>
            </w:pPr>
            <w:r>
              <w:rPr>
                <w:rFonts w:hint="eastAsia" w:eastAsia="仿宋_GB2312" w:cs="仿宋_GB2312"/>
                <w:sz w:val="28"/>
                <w:szCs w:val="28"/>
                <w:highlight w:val="none"/>
                <w:lang w:val="en-US" w:eastAsia="zh-CN"/>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pacing w:line="620" w:lineRule="exact"/>
              <w:jc w:val="center"/>
              <w:rPr>
                <w:rFonts w:hint="eastAsia" w:eastAsia="仿宋_GB2312" w:cs="Times New Roman"/>
                <w:sz w:val="28"/>
                <w:szCs w:val="28"/>
              </w:rPr>
            </w:pPr>
            <w:r>
              <w:rPr>
                <w:rFonts w:hint="eastAsia" w:eastAsia="仿宋_GB2312" w:cs="仿宋_GB2312"/>
                <w:sz w:val="28"/>
                <w:szCs w:val="28"/>
              </w:rPr>
              <w:t>所属行业</w:t>
            </w:r>
          </w:p>
        </w:tc>
        <w:tc>
          <w:tcPr>
            <w:tcW w:w="2552" w:type="dxa"/>
            <w:vAlign w:val="center"/>
          </w:tcPr>
          <w:p>
            <w:pPr>
              <w:spacing w:line="620" w:lineRule="exact"/>
              <w:jc w:val="center"/>
              <w:rPr>
                <w:rFonts w:hint="default" w:eastAsia="仿宋_GB2312" w:cs="仿宋_GB2312"/>
                <w:sz w:val="28"/>
                <w:szCs w:val="28"/>
                <w:lang w:val="en-US" w:eastAsia="zh-CN"/>
              </w:rPr>
            </w:pPr>
            <w:r>
              <w:rPr>
                <w:rFonts w:hint="eastAsia" w:eastAsia="仿宋_GB2312" w:cs="仿宋_GB2312"/>
                <w:sz w:val="28"/>
                <w:szCs w:val="28"/>
                <w:lang w:val="en-US" w:eastAsia="zh-CN"/>
              </w:rPr>
              <w:t>塑料制品</w:t>
            </w:r>
          </w:p>
        </w:tc>
        <w:tc>
          <w:tcPr>
            <w:tcW w:w="1984" w:type="dxa"/>
          </w:tcPr>
          <w:p>
            <w:pPr>
              <w:spacing w:line="620" w:lineRule="exact"/>
              <w:jc w:val="center"/>
              <w:rPr>
                <w:rFonts w:hint="eastAsia" w:eastAsia="仿宋_GB2312" w:cs="仿宋_GB2312"/>
                <w:sz w:val="28"/>
                <w:szCs w:val="28"/>
              </w:rPr>
            </w:pPr>
            <w:r>
              <w:rPr>
                <w:rFonts w:hint="eastAsia" w:eastAsia="仿宋_GB2312" w:cs="仿宋_GB2312"/>
                <w:sz w:val="28"/>
                <w:szCs w:val="28"/>
              </w:rPr>
              <w:t>联系电话</w:t>
            </w:r>
          </w:p>
        </w:tc>
        <w:tc>
          <w:tcPr>
            <w:tcW w:w="2835" w:type="dxa"/>
            <w:vAlign w:val="center"/>
          </w:tcPr>
          <w:p>
            <w:pPr>
              <w:spacing w:line="620" w:lineRule="exact"/>
              <w:jc w:val="center"/>
              <w:rPr>
                <w:rFonts w:hint="default" w:eastAsia="仿宋_GB2312" w:cs="仿宋_GB2312"/>
                <w:sz w:val="28"/>
                <w:szCs w:val="28"/>
                <w:lang w:val="en-US" w:eastAsia="zh-CN"/>
              </w:rPr>
            </w:pPr>
            <w:r>
              <w:rPr>
                <w:rFonts w:hint="eastAsia" w:eastAsia="仿宋_GB2312" w:cs="仿宋_GB2312"/>
                <w:sz w:val="28"/>
                <w:szCs w:val="28"/>
                <w:lang w:val="en-US" w:eastAsia="zh-CN"/>
              </w:rPr>
              <w:t>15373225891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2269" w:type="dxa"/>
            <w:vAlign w:val="center"/>
          </w:tcPr>
          <w:p>
            <w:pPr>
              <w:spacing w:line="620" w:lineRule="exact"/>
              <w:jc w:val="center"/>
              <w:rPr>
                <w:rFonts w:hint="eastAsia" w:eastAsia="仿宋_GB2312" w:cs="Times New Roman"/>
                <w:sz w:val="28"/>
                <w:szCs w:val="28"/>
              </w:rPr>
            </w:pPr>
            <w:r>
              <w:rPr>
                <w:rFonts w:hint="eastAsia" w:eastAsia="仿宋_GB2312" w:cs="仿宋_GB2312"/>
                <w:sz w:val="28"/>
                <w:szCs w:val="28"/>
              </w:rPr>
              <w:t>生产经营和管理服务的主要内容</w:t>
            </w:r>
          </w:p>
        </w:tc>
        <w:tc>
          <w:tcPr>
            <w:tcW w:w="7371" w:type="dxa"/>
            <w:gridSpan w:val="3"/>
          </w:tcPr>
          <w:p>
            <w:pPr>
              <w:spacing w:line="620" w:lineRule="exact"/>
              <w:jc w:val="center"/>
              <w:rPr>
                <w:rFonts w:hint="eastAsia" w:eastAsia="仿宋_GB2312" w:cs="仿宋_GB2312"/>
                <w:sz w:val="28"/>
                <w:szCs w:val="28"/>
                <w:lang w:val="en-US" w:eastAsia="zh-CN"/>
              </w:rPr>
            </w:pPr>
            <w:r>
              <w:rPr>
                <w:rFonts w:hint="eastAsia" w:eastAsia="仿宋_GB2312" w:cs="仿宋_GB2312"/>
                <w:sz w:val="28"/>
                <w:szCs w:val="28"/>
                <w:lang w:eastAsia="zh-CN"/>
              </w:rPr>
              <w:t>高碑店市信德百利革业有限公司</w:t>
            </w:r>
            <w:r>
              <w:rPr>
                <w:rFonts w:hint="default" w:eastAsia="仿宋_GB2312" w:cs="仿宋_GB2312"/>
                <w:sz w:val="28"/>
                <w:szCs w:val="28"/>
              </w:rPr>
              <w:t>主要生产</w:t>
            </w:r>
            <w:r>
              <w:rPr>
                <w:rFonts w:hint="eastAsia" w:eastAsia="仿宋_GB2312" w:cs="仿宋_GB2312"/>
                <w:sz w:val="28"/>
                <w:szCs w:val="28"/>
                <w:lang w:val="en-US" w:eastAsia="zh-CN"/>
              </w:rPr>
              <w:t>PVC人造革</w:t>
            </w:r>
            <w:r>
              <w:rPr>
                <w:rFonts w:hint="default" w:eastAsia="仿宋_GB2312" w:cs="仿宋_GB2312"/>
                <w:sz w:val="28"/>
                <w:szCs w:val="28"/>
              </w:rPr>
              <w:t>，</w:t>
            </w:r>
            <w:r>
              <w:rPr>
                <w:rFonts w:hint="eastAsia" w:eastAsia="仿宋_GB2312" w:cs="仿宋_GB2312"/>
                <w:sz w:val="28"/>
                <w:szCs w:val="28"/>
                <w:lang w:val="en-US" w:eastAsia="zh-CN"/>
              </w:rPr>
              <w:t>现有2条生产线，主要生产中、高档沙发革、箱包革、证件革、汽车脚垫革、球革、证件革。</w:t>
            </w:r>
          </w:p>
          <w:p>
            <w:pPr>
              <w:spacing w:line="620" w:lineRule="exact"/>
              <w:jc w:val="center"/>
              <w:rPr>
                <w:rFonts w:hint="default" w:eastAsia="仿宋_GB2312" w:cs="仿宋_GB231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pacing w:line="620" w:lineRule="exact"/>
              <w:jc w:val="center"/>
              <w:rPr>
                <w:rFonts w:hint="eastAsia" w:eastAsia="仿宋_GB2312" w:cs="Times New Roman"/>
                <w:sz w:val="28"/>
                <w:szCs w:val="28"/>
              </w:rPr>
            </w:pPr>
            <w:r>
              <w:rPr>
                <w:rFonts w:hint="eastAsia" w:eastAsia="仿宋_GB2312" w:cs="仿宋_GB2312"/>
                <w:sz w:val="28"/>
                <w:szCs w:val="28"/>
              </w:rPr>
              <w:t>主要产品</w:t>
            </w:r>
          </w:p>
        </w:tc>
        <w:tc>
          <w:tcPr>
            <w:tcW w:w="4819" w:type="dxa"/>
            <w:gridSpan w:val="2"/>
          </w:tcPr>
          <w:p>
            <w:pPr>
              <w:spacing w:line="620" w:lineRule="exact"/>
              <w:jc w:val="center"/>
              <w:rPr>
                <w:rFonts w:hint="eastAsia" w:eastAsia="仿宋_GB2312" w:cs="Times New Roman"/>
                <w:sz w:val="28"/>
                <w:szCs w:val="28"/>
              </w:rPr>
            </w:pPr>
            <w:r>
              <w:rPr>
                <w:rFonts w:hint="eastAsia" w:eastAsia="仿宋_GB2312" w:cs="仿宋_GB2312"/>
                <w:sz w:val="28"/>
                <w:szCs w:val="28"/>
              </w:rPr>
              <w:t>生产规模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vAlign w:val="center"/>
          </w:tcPr>
          <w:p>
            <w:pPr>
              <w:widowControl/>
              <w:spacing w:before="100" w:beforeAutospacing="1" w:after="100" w:afterAutospacing="1"/>
              <w:jc w:val="center"/>
              <w:rPr>
                <w:rFonts w:hint="default" w:eastAsia="仿宋_GB2312" w:cs="Times New Roman"/>
                <w:sz w:val="28"/>
                <w:szCs w:val="28"/>
                <w:lang w:val="en-US" w:eastAsia="zh-CN"/>
              </w:rPr>
            </w:pPr>
            <w:r>
              <w:rPr>
                <w:rFonts w:hint="eastAsia" w:eastAsia="仿宋_GB2312" w:cs="Times New Roman"/>
                <w:sz w:val="28"/>
                <w:szCs w:val="28"/>
                <w:lang w:val="en-US" w:eastAsia="zh-CN"/>
              </w:rPr>
              <w:t>人造革</w:t>
            </w:r>
          </w:p>
        </w:tc>
        <w:tc>
          <w:tcPr>
            <w:tcW w:w="4819" w:type="dxa"/>
            <w:gridSpan w:val="2"/>
            <w:vAlign w:val="center"/>
          </w:tcPr>
          <w:p>
            <w:pPr>
              <w:widowControl/>
              <w:spacing w:before="100" w:beforeAutospacing="1" w:after="100" w:afterAutospacing="1"/>
              <w:jc w:val="center"/>
              <w:rPr>
                <w:rFonts w:hint="default" w:eastAsia="仿宋_GB2312" w:cs="Times New Roman"/>
                <w:sz w:val="28"/>
                <w:szCs w:val="28"/>
                <w:lang w:val="en-US" w:eastAsia="zh-CN"/>
              </w:rPr>
            </w:pPr>
            <w:r>
              <w:rPr>
                <w:rFonts w:hint="eastAsia" w:eastAsia="仿宋_GB2312" w:cs="Times New Roman"/>
                <w:sz w:val="28"/>
                <w:szCs w:val="28"/>
                <w:lang w:val="en-US" w:eastAsia="zh-CN"/>
              </w:rPr>
              <w:t>200万米/年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vAlign w:val="center"/>
          </w:tcPr>
          <w:p>
            <w:pPr>
              <w:widowControl/>
              <w:spacing w:before="100" w:beforeAutospacing="1" w:after="100" w:afterAutospacing="1"/>
              <w:jc w:val="center"/>
              <w:rPr>
                <w:rFonts w:hint="eastAsia" w:eastAsia="仿宋_GB2312" w:cs="Times New Roman"/>
                <w:sz w:val="28"/>
                <w:szCs w:val="28"/>
              </w:rPr>
            </w:pPr>
          </w:p>
        </w:tc>
        <w:tc>
          <w:tcPr>
            <w:tcW w:w="4819" w:type="dxa"/>
            <w:gridSpan w:val="2"/>
            <w:vAlign w:val="center"/>
          </w:tcPr>
          <w:p>
            <w:pPr>
              <w:widowControl/>
              <w:spacing w:before="100" w:beforeAutospacing="1" w:after="100" w:afterAutospacing="1"/>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pacing w:line="620" w:lineRule="exact"/>
              <w:jc w:val="center"/>
              <w:rPr>
                <w:rFonts w:hint="eastAsia" w:eastAsia="仿宋_GB2312" w:cs="Times New Roman"/>
                <w:sz w:val="28"/>
                <w:szCs w:val="28"/>
              </w:rPr>
            </w:pPr>
          </w:p>
        </w:tc>
        <w:tc>
          <w:tcPr>
            <w:tcW w:w="4819" w:type="dxa"/>
            <w:gridSpan w:val="2"/>
          </w:tcPr>
          <w:p>
            <w:pPr>
              <w:spacing w:line="62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pacing w:line="620" w:lineRule="exact"/>
              <w:jc w:val="center"/>
              <w:rPr>
                <w:rFonts w:hint="eastAsia" w:eastAsia="仿宋_GB2312" w:cs="Times New Roman"/>
                <w:sz w:val="28"/>
                <w:szCs w:val="28"/>
              </w:rPr>
            </w:pPr>
          </w:p>
        </w:tc>
        <w:tc>
          <w:tcPr>
            <w:tcW w:w="4819" w:type="dxa"/>
            <w:gridSpan w:val="2"/>
          </w:tcPr>
          <w:p>
            <w:pPr>
              <w:spacing w:line="62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pacing w:line="620" w:lineRule="exact"/>
              <w:jc w:val="center"/>
              <w:rPr>
                <w:rFonts w:hint="eastAsia" w:eastAsia="仿宋_GB2312"/>
                <w:sz w:val="28"/>
                <w:szCs w:val="28"/>
              </w:rPr>
            </w:pPr>
            <w:r>
              <w:rPr>
                <w:rFonts w:eastAsia="仿宋_GB2312"/>
                <w:sz w:val="28"/>
                <w:szCs w:val="28"/>
              </w:rPr>
              <w:t>……</w:t>
            </w:r>
          </w:p>
        </w:tc>
        <w:tc>
          <w:tcPr>
            <w:tcW w:w="4819" w:type="dxa"/>
            <w:gridSpan w:val="2"/>
          </w:tcPr>
          <w:p>
            <w:pPr>
              <w:spacing w:line="620" w:lineRule="exact"/>
              <w:jc w:val="center"/>
              <w:rPr>
                <w:rFonts w:hint="eastAsia" w:eastAsia="仿宋_GB2312"/>
                <w:sz w:val="28"/>
                <w:szCs w:val="28"/>
              </w:rPr>
            </w:pPr>
          </w:p>
        </w:tc>
      </w:tr>
    </w:tbl>
    <w:p>
      <w:pPr>
        <w:widowControl/>
        <w:jc w:val="left"/>
        <w:rPr>
          <w:rFonts w:hint="eastAsia" w:eastAsia="黑体" w:cs="Times New Roman"/>
          <w:sz w:val="32"/>
          <w:szCs w:val="32"/>
        </w:rPr>
        <w:sectPr>
          <w:footerReference r:id="rId3" w:type="default"/>
          <w:pgSz w:w="11906" w:h="16838"/>
          <w:pgMar w:top="2098" w:right="1588" w:bottom="1985" w:left="1588" w:header="851" w:footer="992" w:gutter="0"/>
          <w:cols w:space="720" w:num="1"/>
          <w:docGrid w:type="lines" w:linePitch="312" w:charSpace="0"/>
        </w:sectPr>
      </w:pPr>
    </w:p>
    <w:p>
      <w:pPr>
        <w:spacing w:line="560" w:lineRule="exact"/>
        <w:ind w:firstLine="320" w:firstLineChars="100"/>
        <w:jc w:val="left"/>
        <w:rPr>
          <w:rFonts w:hint="eastAsia" w:eastAsia="黑体" w:cs="Times New Roman"/>
          <w:sz w:val="32"/>
          <w:szCs w:val="32"/>
        </w:rPr>
      </w:pPr>
      <w:r>
        <w:rPr>
          <w:rFonts w:hint="eastAsia" w:eastAsia="黑体" w:cs="黑体"/>
          <w:sz w:val="32"/>
          <w:szCs w:val="32"/>
        </w:rPr>
        <w:t>二、排污信息</w:t>
      </w:r>
    </w:p>
    <w:tbl>
      <w:tblPr>
        <w:tblStyle w:val="26"/>
        <w:tblW w:w="13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305"/>
        <w:gridCol w:w="994"/>
        <w:gridCol w:w="1560"/>
        <w:gridCol w:w="1134"/>
        <w:gridCol w:w="938"/>
        <w:gridCol w:w="851"/>
        <w:gridCol w:w="1134"/>
        <w:gridCol w:w="1275"/>
        <w:gridCol w:w="2323"/>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695" w:type="dxa"/>
            <w:gridSpan w:val="11"/>
          </w:tcPr>
          <w:p>
            <w:pPr>
              <w:spacing w:line="500" w:lineRule="exact"/>
              <w:jc w:val="center"/>
              <w:rPr>
                <w:rFonts w:hint="eastAsia" w:eastAsia="仿宋_GB2312" w:cs="Times New Roman"/>
                <w:b/>
                <w:bCs/>
                <w:sz w:val="28"/>
                <w:szCs w:val="28"/>
              </w:rPr>
            </w:pPr>
            <w:r>
              <w:rPr>
                <w:rFonts w:hint="eastAsia" w:eastAsia="仿宋_GB2312" w:cs="仿宋_GB2312"/>
                <w:b/>
                <w:bCs/>
                <w:sz w:val="28"/>
                <w:szCs w:val="28"/>
              </w:rPr>
              <w:t>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9" w:type="dxa"/>
            <w:gridSpan w:val="6"/>
            <w:vAlign w:val="center"/>
          </w:tcPr>
          <w:p>
            <w:pPr>
              <w:spacing w:line="500" w:lineRule="exact"/>
              <w:jc w:val="center"/>
              <w:rPr>
                <w:rFonts w:hint="eastAsia" w:eastAsia="仿宋_GB2312" w:cs="Times New Roman"/>
                <w:sz w:val="24"/>
                <w:szCs w:val="24"/>
              </w:rPr>
            </w:pPr>
            <w:r>
              <w:rPr>
                <w:rFonts w:hint="eastAsia" w:eastAsia="仿宋_GB2312" w:cs="仿宋_GB2312"/>
                <w:sz w:val="24"/>
                <w:szCs w:val="24"/>
              </w:rPr>
              <w:t>排放口数量</w:t>
            </w:r>
          </w:p>
        </w:tc>
        <w:tc>
          <w:tcPr>
            <w:tcW w:w="6486" w:type="dxa"/>
            <w:gridSpan w:val="5"/>
          </w:tcPr>
          <w:p>
            <w:pPr>
              <w:spacing w:line="500" w:lineRule="exact"/>
              <w:jc w:val="center"/>
              <w:rPr>
                <w:rFonts w:hint="eastAsia" w:eastAsia="仿宋_GB2312"/>
                <w:sz w:val="30"/>
                <w:szCs w:val="30"/>
              </w:rPr>
            </w:pPr>
            <w:r>
              <w:rPr>
                <w:rFonts w:eastAsia="仿宋_GB2312"/>
                <w:sz w:val="30"/>
                <w:szCs w:val="3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排放口编号或名称</w:t>
            </w:r>
          </w:p>
        </w:tc>
        <w:tc>
          <w:tcPr>
            <w:tcW w:w="1305"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排放口位置</w:t>
            </w:r>
          </w:p>
        </w:tc>
        <w:tc>
          <w:tcPr>
            <w:tcW w:w="994"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排放方式</w:t>
            </w:r>
          </w:p>
        </w:tc>
        <w:tc>
          <w:tcPr>
            <w:tcW w:w="1560"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主要</w:t>
            </w:r>
            <w:r>
              <w:rPr>
                <w:rFonts w:eastAsia="仿宋_GB2312"/>
                <w:color w:val="000000"/>
                <w:sz w:val="24"/>
                <w:szCs w:val="24"/>
              </w:rPr>
              <w:t>/</w:t>
            </w:r>
            <w:r>
              <w:rPr>
                <w:rFonts w:hint="eastAsia" w:eastAsia="仿宋_GB2312" w:cs="仿宋_GB2312"/>
                <w:color w:val="000000"/>
                <w:sz w:val="24"/>
                <w:szCs w:val="24"/>
              </w:rPr>
              <w:t>特征污染物名称</w:t>
            </w:r>
          </w:p>
        </w:tc>
        <w:tc>
          <w:tcPr>
            <w:tcW w:w="1134"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排放浓度（</w:t>
            </w:r>
            <w:r>
              <w:rPr>
                <w:rFonts w:eastAsia="仿宋_GB2312"/>
                <w:color w:val="000000"/>
                <w:sz w:val="24"/>
                <w:szCs w:val="24"/>
              </w:rPr>
              <w:t xml:space="preserve">mg/L </w:t>
            </w:r>
            <w:r>
              <w:rPr>
                <w:rFonts w:hint="eastAsia" w:eastAsia="仿宋_GB2312" w:cs="仿宋_GB2312"/>
                <w:color w:val="000000"/>
                <w:sz w:val="24"/>
                <w:szCs w:val="24"/>
              </w:rPr>
              <w:t>）</w:t>
            </w:r>
          </w:p>
        </w:tc>
        <w:tc>
          <w:tcPr>
            <w:tcW w:w="938"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监测</w:t>
            </w:r>
          </w:p>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方式</w:t>
            </w:r>
          </w:p>
        </w:tc>
        <w:tc>
          <w:tcPr>
            <w:tcW w:w="851"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监测</w:t>
            </w:r>
          </w:p>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时间</w:t>
            </w:r>
          </w:p>
        </w:tc>
        <w:tc>
          <w:tcPr>
            <w:tcW w:w="1134"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排放总量</w:t>
            </w:r>
          </w:p>
          <w:p>
            <w:pPr>
              <w:spacing w:line="500" w:lineRule="exact"/>
              <w:ind w:left="-105" w:leftChars="-50" w:right="-105" w:rightChars="-50"/>
              <w:jc w:val="center"/>
              <w:rPr>
                <w:rFonts w:hint="eastAsia" w:eastAsia="仿宋_GB2312"/>
                <w:color w:val="000000"/>
                <w:sz w:val="24"/>
                <w:szCs w:val="24"/>
              </w:rPr>
            </w:pPr>
            <w:r>
              <w:rPr>
                <w:rFonts w:eastAsia="仿宋_GB2312"/>
                <w:color w:val="000000"/>
                <w:sz w:val="24"/>
                <w:szCs w:val="24"/>
              </w:rPr>
              <w:t>(kg)</w:t>
            </w:r>
          </w:p>
        </w:tc>
        <w:tc>
          <w:tcPr>
            <w:tcW w:w="1275"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核定的排放总量（</w:t>
            </w:r>
            <w:r>
              <w:rPr>
                <w:rFonts w:eastAsia="仿宋_GB2312"/>
                <w:color w:val="000000"/>
                <w:sz w:val="24"/>
                <w:szCs w:val="24"/>
              </w:rPr>
              <w:t>kg</w:t>
            </w:r>
            <w:r>
              <w:rPr>
                <w:rFonts w:hint="eastAsia" w:eastAsia="仿宋_GB2312" w:cs="仿宋_GB2312"/>
                <w:color w:val="000000"/>
                <w:sz w:val="24"/>
                <w:szCs w:val="24"/>
              </w:rPr>
              <w:t>）</w:t>
            </w:r>
          </w:p>
        </w:tc>
        <w:tc>
          <w:tcPr>
            <w:tcW w:w="2323"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执行的污染物排放标准及浓度限值（</w:t>
            </w:r>
            <w:r>
              <w:rPr>
                <w:rFonts w:eastAsia="仿宋_GB2312"/>
                <w:color w:val="000000"/>
                <w:sz w:val="24"/>
                <w:szCs w:val="24"/>
              </w:rPr>
              <w:t>mg/L</w:t>
            </w:r>
            <w:r>
              <w:rPr>
                <w:rFonts w:hint="eastAsia" w:eastAsia="仿宋_GB2312" w:cs="仿宋_GB2312"/>
                <w:color w:val="000000"/>
                <w:sz w:val="24"/>
                <w:szCs w:val="24"/>
              </w:rPr>
              <w:t>）</w:t>
            </w:r>
          </w:p>
        </w:tc>
        <w:tc>
          <w:tcPr>
            <w:tcW w:w="903"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是否</w:t>
            </w:r>
          </w:p>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restart"/>
            <w:vAlign w:val="center"/>
          </w:tcPr>
          <w:p>
            <w:pPr>
              <w:spacing w:line="500" w:lineRule="exact"/>
              <w:jc w:val="center"/>
              <w:rPr>
                <w:rFonts w:hint="eastAsia" w:eastAsia="仿宋_GB2312"/>
                <w:lang w:val="en-US" w:eastAsia="zh-CN"/>
              </w:rPr>
            </w:pPr>
          </w:p>
        </w:tc>
        <w:tc>
          <w:tcPr>
            <w:tcW w:w="1305" w:type="dxa"/>
            <w:vMerge w:val="restart"/>
            <w:vAlign w:val="center"/>
          </w:tcPr>
          <w:p>
            <w:pPr>
              <w:widowControl/>
              <w:spacing w:before="100" w:beforeAutospacing="1" w:after="100" w:afterAutospacing="1"/>
              <w:jc w:val="center"/>
              <w:rPr>
                <w:rFonts w:hint="eastAsia" w:eastAsia="仿宋_GB2312" w:cs="Times New Roman"/>
              </w:rPr>
            </w:pPr>
          </w:p>
        </w:tc>
        <w:tc>
          <w:tcPr>
            <w:tcW w:w="994" w:type="dxa"/>
            <w:vMerge w:val="restart"/>
            <w:vAlign w:val="center"/>
          </w:tcPr>
          <w:p>
            <w:pPr>
              <w:spacing w:line="500" w:lineRule="exact"/>
              <w:jc w:val="center"/>
              <w:rPr>
                <w:rFonts w:hint="eastAsia" w:eastAsia="仿宋_GB2312" w:cs="Times New Roman"/>
              </w:rPr>
            </w:pPr>
          </w:p>
        </w:tc>
        <w:tc>
          <w:tcPr>
            <w:tcW w:w="1560" w:type="dxa"/>
            <w:vAlign w:val="center"/>
          </w:tcPr>
          <w:p>
            <w:pPr>
              <w:widowControl/>
              <w:spacing w:before="100" w:beforeAutospacing="1" w:after="100" w:afterAutospacing="1"/>
              <w:ind w:left="-63"/>
              <w:jc w:val="center"/>
              <w:rPr>
                <w:rFonts w:hint="eastAsia" w:eastAsia="仿宋_GB2312" w:cs="Times New Roman"/>
              </w:rPr>
            </w:pPr>
          </w:p>
        </w:tc>
        <w:tc>
          <w:tcPr>
            <w:tcW w:w="1134" w:type="dxa"/>
            <w:vAlign w:val="center"/>
          </w:tcPr>
          <w:p>
            <w:pPr>
              <w:widowControl/>
              <w:spacing w:before="100" w:beforeAutospacing="1" w:after="100" w:afterAutospacing="1"/>
              <w:jc w:val="center"/>
              <w:rPr>
                <w:rFonts w:hint="default" w:eastAsia="仿宋_GB2312"/>
                <w:lang w:val="en-US" w:eastAsia="zh-CN"/>
              </w:rPr>
            </w:pPr>
          </w:p>
        </w:tc>
        <w:tc>
          <w:tcPr>
            <w:tcW w:w="938" w:type="dxa"/>
            <w:vAlign w:val="center"/>
          </w:tcPr>
          <w:p>
            <w:pPr>
              <w:widowControl/>
              <w:spacing w:before="100" w:beforeAutospacing="1" w:after="100" w:afterAutospacing="1"/>
              <w:jc w:val="center"/>
              <w:rPr>
                <w:rFonts w:hint="eastAsia" w:eastAsia="仿宋_GB2312" w:cs="Times New Roman"/>
                <w:lang w:eastAsia="zh-CN"/>
              </w:rPr>
            </w:pPr>
          </w:p>
        </w:tc>
        <w:tc>
          <w:tcPr>
            <w:tcW w:w="851" w:type="dxa"/>
            <w:vAlign w:val="center"/>
          </w:tcPr>
          <w:p>
            <w:pPr>
              <w:widowControl/>
              <w:spacing w:before="100" w:beforeAutospacing="1" w:after="100" w:afterAutospacing="1"/>
              <w:jc w:val="center"/>
              <w:rPr>
                <w:rFonts w:hint="default" w:eastAsia="仿宋_GB2312" w:cs="Times New Roman"/>
                <w:lang w:val="en-US" w:eastAsia="zh-CN"/>
              </w:rPr>
            </w:pPr>
          </w:p>
        </w:tc>
        <w:tc>
          <w:tcPr>
            <w:tcW w:w="1134" w:type="dxa"/>
            <w:vAlign w:val="center"/>
          </w:tcPr>
          <w:p>
            <w:pPr>
              <w:widowControl/>
              <w:spacing w:before="100" w:beforeAutospacing="1" w:after="100" w:afterAutospacing="1"/>
              <w:jc w:val="center"/>
              <w:rPr>
                <w:rFonts w:hint="default" w:eastAsia="仿宋_GB2312"/>
                <w:lang w:val="en-US" w:eastAsia="zh-CN"/>
              </w:rPr>
            </w:pPr>
          </w:p>
        </w:tc>
        <w:tc>
          <w:tcPr>
            <w:tcW w:w="1275" w:type="dxa"/>
            <w:vAlign w:val="center"/>
          </w:tcPr>
          <w:p>
            <w:pPr>
              <w:widowControl/>
              <w:spacing w:before="100" w:beforeAutospacing="1" w:after="100" w:afterAutospacing="1"/>
              <w:jc w:val="center"/>
              <w:rPr>
                <w:rFonts w:hint="default" w:eastAsia="仿宋_GB2312" w:cs="Times New Roman"/>
                <w:lang w:val="en-US" w:eastAsia="zh-CN"/>
              </w:rPr>
            </w:pPr>
          </w:p>
        </w:tc>
        <w:tc>
          <w:tcPr>
            <w:tcW w:w="2323" w:type="dxa"/>
            <w:vAlign w:val="center"/>
          </w:tcPr>
          <w:p>
            <w:pPr>
              <w:widowControl/>
              <w:spacing w:before="100" w:beforeAutospacing="1" w:after="100" w:afterAutospacing="1"/>
              <w:jc w:val="center"/>
              <w:rPr>
                <w:rFonts w:hint="eastAsia" w:eastAsia="仿宋_GB2312" w:cs="Times New Roman"/>
              </w:rPr>
            </w:pPr>
          </w:p>
        </w:tc>
        <w:tc>
          <w:tcPr>
            <w:tcW w:w="903" w:type="dxa"/>
            <w:vAlign w:val="center"/>
          </w:tcPr>
          <w:p>
            <w:pPr>
              <w:widowControl/>
              <w:spacing w:before="100" w:beforeAutospacing="1" w:after="100" w:afterAutospacing="1"/>
              <w:jc w:val="center"/>
              <w:rPr>
                <w:rFonts w:hint="eastAsia" w:ascii="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278" w:type="dxa"/>
            <w:vMerge w:val="continue"/>
            <w:vAlign w:val="center"/>
          </w:tcPr>
          <w:p>
            <w:pPr>
              <w:widowControl/>
              <w:jc w:val="left"/>
              <w:rPr>
                <w:rFonts w:hint="eastAsia" w:eastAsia="仿宋_GB2312" w:cs="Times New Roman"/>
              </w:rPr>
            </w:pPr>
          </w:p>
        </w:tc>
        <w:tc>
          <w:tcPr>
            <w:tcW w:w="1305" w:type="dxa"/>
            <w:vMerge w:val="continue"/>
            <w:vAlign w:val="center"/>
          </w:tcPr>
          <w:p>
            <w:pPr>
              <w:widowControl/>
              <w:jc w:val="left"/>
              <w:rPr>
                <w:rFonts w:hint="eastAsia" w:eastAsia="仿宋_GB2312" w:cs="Times New Roman"/>
              </w:rPr>
            </w:pPr>
          </w:p>
        </w:tc>
        <w:tc>
          <w:tcPr>
            <w:tcW w:w="994" w:type="dxa"/>
            <w:vMerge w:val="continue"/>
            <w:vAlign w:val="center"/>
          </w:tcPr>
          <w:p>
            <w:pPr>
              <w:widowControl/>
              <w:jc w:val="left"/>
              <w:rPr>
                <w:rFonts w:hint="eastAsia" w:eastAsia="仿宋_GB2312" w:cs="Times New Roman"/>
              </w:rPr>
            </w:pPr>
          </w:p>
        </w:tc>
        <w:tc>
          <w:tcPr>
            <w:tcW w:w="1560" w:type="dxa"/>
            <w:vAlign w:val="center"/>
          </w:tcPr>
          <w:p>
            <w:pPr>
              <w:widowControl/>
              <w:spacing w:before="100" w:beforeAutospacing="1" w:after="100" w:afterAutospacing="1"/>
              <w:jc w:val="center"/>
              <w:rPr>
                <w:rFonts w:hint="default" w:eastAsia="仿宋_GB2312" w:cs="Times New Roman"/>
                <w:lang w:val="en-US" w:eastAsia="zh-CN"/>
              </w:rPr>
            </w:pPr>
          </w:p>
        </w:tc>
        <w:tc>
          <w:tcPr>
            <w:tcW w:w="1134" w:type="dxa"/>
            <w:vAlign w:val="center"/>
          </w:tcPr>
          <w:p>
            <w:pPr>
              <w:widowControl/>
              <w:spacing w:before="100" w:beforeAutospacing="1" w:after="100" w:afterAutospacing="1"/>
              <w:jc w:val="center"/>
              <w:rPr>
                <w:rFonts w:hint="eastAsia" w:eastAsia="仿宋_GB2312" w:cs="Times New Roman"/>
              </w:rPr>
            </w:pPr>
          </w:p>
        </w:tc>
        <w:tc>
          <w:tcPr>
            <w:tcW w:w="938" w:type="dxa"/>
            <w:vAlign w:val="center"/>
          </w:tcPr>
          <w:p>
            <w:pPr>
              <w:widowControl/>
              <w:spacing w:before="100" w:beforeAutospacing="1" w:after="100" w:afterAutospacing="1"/>
              <w:jc w:val="center"/>
              <w:rPr>
                <w:rFonts w:hint="eastAsia" w:eastAsia="仿宋_GB2312" w:cs="Times New Roman"/>
              </w:rPr>
            </w:pPr>
          </w:p>
        </w:tc>
        <w:tc>
          <w:tcPr>
            <w:tcW w:w="851" w:type="dxa"/>
            <w:vAlign w:val="center"/>
          </w:tcPr>
          <w:p>
            <w:pPr>
              <w:widowControl/>
              <w:spacing w:before="100" w:beforeAutospacing="1" w:after="100" w:afterAutospacing="1"/>
              <w:jc w:val="left"/>
              <w:rPr>
                <w:rFonts w:hint="eastAsia" w:eastAsia="仿宋_GB2312" w:cs="Times New Roman"/>
              </w:rPr>
            </w:pPr>
          </w:p>
        </w:tc>
        <w:tc>
          <w:tcPr>
            <w:tcW w:w="1134" w:type="dxa"/>
            <w:vAlign w:val="center"/>
          </w:tcPr>
          <w:p>
            <w:pPr>
              <w:widowControl/>
              <w:spacing w:before="100" w:beforeAutospacing="1" w:after="100" w:afterAutospacing="1"/>
              <w:jc w:val="center"/>
              <w:rPr>
                <w:rFonts w:hint="eastAsia" w:eastAsia="仿宋_GB2312" w:cs="Times New Roman"/>
              </w:rPr>
            </w:pPr>
          </w:p>
        </w:tc>
        <w:tc>
          <w:tcPr>
            <w:tcW w:w="1275" w:type="dxa"/>
            <w:vAlign w:val="center"/>
          </w:tcPr>
          <w:p>
            <w:pPr>
              <w:widowControl/>
              <w:spacing w:before="100" w:beforeAutospacing="1" w:after="100" w:afterAutospacing="1"/>
              <w:jc w:val="center"/>
              <w:rPr>
                <w:rFonts w:hint="eastAsia" w:eastAsia="仿宋_GB2312" w:cs="Times New Roman"/>
              </w:rPr>
            </w:pPr>
          </w:p>
        </w:tc>
        <w:tc>
          <w:tcPr>
            <w:tcW w:w="2323" w:type="dxa"/>
            <w:vAlign w:val="center"/>
          </w:tcPr>
          <w:p>
            <w:pPr>
              <w:widowControl/>
              <w:spacing w:before="100" w:beforeAutospacing="1" w:after="100" w:afterAutospacing="1"/>
              <w:jc w:val="center"/>
              <w:rPr>
                <w:rFonts w:hint="eastAsia" w:eastAsia="仿宋_GB2312" w:cs="Times New Roman"/>
              </w:rPr>
            </w:pPr>
          </w:p>
        </w:tc>
        <w:tc>
          <w:tcPr>
            <w:tcW w:w="903" w:type="dxa"/>
            <w:vAlign w:val="center"/>
          </w:tcPr>
          <w:p>
            <w:pPr>
              <w:widowControl/>
              <w:spacing w:before="100" w:beforeAutospacing="1" w:after="100" w:afterAutospacing="1"/>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spacing w:line="500" w:lineRule="exact"/>
              <w:jc w:val="center"/>
              <w:rPr>
                <w:rFonts w:hint="eastAsia" w:eastAsia="仿宋_GB2312" w:cs="Times New Roman"/>
              </w:rPr>
            </w:pPr>
          </w:p>
        </w:tc>
        <w:tc>
          <w:tcPr>
            <w:tcW w:w="1305" w:type="dxa"/>
            <w:vMerge w:val="continue"/>
            <w:vAlign w:val="center"/>
          </w:tcPr>
          <w:p>
            <w:pPr>
              <w:spacing w:line="500" w:lineRule="exact"/>
              <w:jc w:val="center"/>
              <w:rPr>
                <w:rFonts w:hint="eastAsia" w:eastAsia="仿宋_GB2312" w:cs="Times New Roman"/>
              </w:rPr>
            </w:pPr>
          </w:p>
        </w:tc>
        <w:tc>
          <w:tcPr>
            <w:tcW w:w="994" w:type="dxa"/>
            <w:vMerge w:val="continue"/>
            <w:vAlign w:val="center"/>
          </w:tcPr>
          <w:p>
            <w:pPr>
              <w:spacing w:line="500" w:lineRule="exact"/>
              <w:jc w:val="center"/>
              <w:rPr>
                <w:rFonts w:hint="eastAsia" w:eastAsia="仿宋_GB2312" w:cs="Times New Roman"/>
              </w:rPr>
            </w:pPr>
          </w:p>
        </w:tc>
        <w:tc>
          <w:tcPr>
            <w:tcW w:w="1560" w:type="dxa"/>
            <w:vAlign w:val="center"/>
          </w:tcPr>
          <w:p>
            <w:pPr>
              <w:widowControl/>
              <w:spacing w:before="100" w:beforeAutospacing="1" w:after="100" w:afterAutospacing="1"/>
              <w:jc w:val="center"/>
              <w:rPr>
                <w:rFonts w:hint="eastAsia" w:eastAsia="仿宋_GB2312" w:cs="Times New Roman"/>
              </w:rPr>
            </w:pPr>
          </w:p>
        </w:tc>
        <w:tc>
          <w:tcPr>
            <w:tcW w:w="1134" w:type="dxa"/>
            <w:vAlign w:val="center"/>
          </w:tcPr>
          <w:p>
            <w:pPr>
              <w:widowControl/>
              <w:spacing w:before="100" w:beforeAutospacing="1" w:after="100" w:afterAutospacing="1"/>
              <w:jc w:val="center"/>
              <w:rPr>
                <w:rFonts w:hint="eastAsia" w:eastAsia="仿宋_GB2312" w:cs="Times New Roman"/>
              </w:rPr>
            </w:pPr>
          </w:p>
        </w:tc>
        <w:tc>
          <w:tcPr>
            <w:tcW w:w="938" w:type="dxa"/>
            <w:vAlign w:val="center"/>
          </w:tcPr>
          <w:p>
            <w:pPr>
              <w:widowControl/>
              <w:spacing w:before="100" w:beforeAutospacing="1" w:after="100" w:afterAutospacing="1"/>
              <w:jc w:val="center"/>
              <w:rPr>
                <w:rFonts w:hint="eastAsia" w:eastAsia="仿宋_GB2312" w:cs="Times New Roman"/>
              </w:rPr>
            </w:pPr>
          </w:p>
        </w:tc>
        <w:tc>
          <w:tcPr>
            <w:tcW w:w="851" w:type="dxa"/>
            <w:vAlign w:val="center"/>
          </w:tcPr>
          <w:p>
            <w:pPr>
              <w:widowControl/>
              <w:spacing w:before="100" w:beforeAutospacing="1" w:after="100" w:afterAutospacing="1"/>
              <w:jc w:val="left"/>
              <w:rPr>
                <w:rFonts w:hint="eastAsia" w:eastAsia="仿宋_GB2312" w:cs="Times New Roman"/>
              </w:rPr>
            </w:pPr>
          </w:p>
        </w:tc>
        <w:tc>
          <w:tcPr>
            <w:tcW w:w="1134" w:type="dxa"/>
            <w:vAlign w:val="center"/>
          </w:tcPr>
          <w:p>
            <w:pPr>
              <w:widowControl/>
              <w:spacing w:before="100" w:beforeAutospacing="1" w:after="100" w:afterAutospacing="1"/>
              <w:jc w:val="center"/>
              <w:rPr>
                <w:rFonts w:hint="eastAsia" w:eastAsia="仿宋_GB2312" w:cs="Times New Roman"/>
              </w:rPr>
            </w:pPr>
          </w:p>
        </w:tc>
        <w:tc>
          <w:tcPr>
            <w:tcW w:w="1275" w:type="dxa"/>
            <w:vAlign w:val="center"/>
          </w:tcPr>
          <w:p>
            <w:pPr>
              <w:widowControl/>
              <w:spacing w:before="100" w:beforeAutospacing="1" w:after="100" w:afterAutospacing="1"/>
              <w:jc w:val="center"/>
              <w:rPr>
                <w:rFonts w:hint="eastAsia" w:eastAsia="仿宋_GB2312" w:cs="Times New Roman"/>
              </w:rPr>
            </w:pPr>
          </w:p>
        </w:tc>
        <w:tc>
          <w:tcPr>
            <w:tcW w:w="2323" w:type="dxa"/>
            <w:vAlign w:val="center"/>
          </w:tcPr>
          <w:p>
            <w:pPr>
              <w:widowControl/>
              <w:spacing w:before="100" w:beforeAutospacing="1" w:after="100" w:afterAutospacing="1"/>
              <w:jc w:val="center"/>
              <w:rPr>
                <w:rFonts w:hint="eastAsia" w:eastAsia="仿宋_GB2312" w:cs="Times New Roman"/>
              </w:rPr>
            </w:pPr>
          </w:p>
        </w:tc>
        <w:tc>
          <w:tcPr>
            <w:tcW w:w="903" w:type="dxa"/>
            <w:vAlign w:val="center"/>
          </w:tcPr>
          <w:p>
            <w:pPr>
              <w:widowControl/>
              <w:spacing w:before="100" w:beforeAutospacing="1" w:after="100" w:afterAutospacing="1"/>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restart"/>
            <w:vAlign w:val="center"/>
          </w:tcPr>
          <w:p>
            <w:pPr>
              <w:widowControl/>
              <w:jc w:val="left"/>
              <w:rPr>
                <w:rFonts w:hint="eastAsia" w:eastAsia="仿宋_GB2312" w:cs="Times New Roman"/>
              </w:rPr>
            </w:pPr>
          </w:p>
        </w:tc>
        <w:tc>
          <w:tcPr>
            <w:tcW w:w="1305" w:type="dxa"/>
            <w:vMerge w:val="restart"/>
            <w:vAlign w:val="center"/>
          </w:tcPr>
          <w:p>
            <w:pPr>
              <w:widowControl/>
              <w:jc w:val="left"/>
              <w:rPr>
                <w:rFonts w:hint="eastAsia" w:eastAsia="仿宋_GB2312" w:cs="Times New Roman"/>
              </w:rPr>
            </w:pPr>
          </w:p>
        </w:tc>
        <w:tc>
          <w:tcPr>
            <w:tcW w:w="994" w:type="dxa"/>
            <w:vMerge w:val="restart"/>
            <w:vAlign w:val="center"/>
          </w:tcPr>
          <w:p>
            <w:pPr>
              <w:widowControl/>
              <w:jc w:val="left"/>
              <w:rPr>
                <w:rFonts w:hint="eastAsia" w:eastAsia="仿宋_GB2312" w:cs="Times New Roman"/>
              </w:rPr>
            </w:pPr>
          </w:p>
        </w:tc>
        <w:tc>
          <w:tcPr>
            <w:tcW w:w="1560"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widowControl/>
              <w:jc w:val="left"/>
              <w:rPr>
                <w:rFonts w:hint="eastAsia" w:eastAsia="仿宋_GB2312" w:cs="Times New Roman"/>
              </w:rPr>
            </w:pPr>
          </w:p>
        </w:tc>
        <w:tc>
          <w:tcPr>
            <w:tcW w:w="1305" w:type="dxa"/>
            <w:vMerge w:val="continue"/>
            <w:vAlign w:val="center"/>
          </w:tcPr>
          <w:p>
            <w:pPr>
              <w:widowControl/>
              <w:jc w:val="left"/>
              <w:rPr>
                <w:rFonts w:hint="eastAsia" w:eastAsia="仿宋_GB2312" w:cs="Times New Roman"/>
              </w:rPr>
            </w:pPr>
          </w:p>
        </w:tc>
        <w:tc>
          <w:tcPr>
            <w:tcW w:w="994" w:type="dxa"/>
            <w:vMerge w:val="continue"/>
            <w:vAlign w:val="center"/>
          </w:tcPr>
          <w:p>
            <w:pPr>
              <w:widowControl/>
              <w:jc w:val="left"/>
              <w:rPr>
                <w:rFonts w:hint="eastAsia" w:eastAsia="仿宋_GB2312" w:cs="Times New Roman"/>
              </w:rPr>
            </w:pPr>
          </w:p>
        </w:tc>
        <w:tc>
          <w:tcPr>
            <w:tcW w:w="1560" w:type="dxa"/>
            <w:vAlign w:val="center"/>
          </w:tcPr>
          <w:p>
            <w:pPr>
              <w:spacing w:line="500" w:lineRule="exact"/>
              <w:jc w:val="center"/>
              <w:rPr>
                <w:rFonts w:hint="eastAsia" w:eastAsia="仿宋_GB2312" w:cs="Times New Roman"/>
              </w:rPr>
            </w:pPr>
            <w:r>
              <w:rPr>
                <w:rFonts w:eastAsia="黑体"/>
              </w:rPr>
              <w:t>……</w:t>
            </w: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restart"/>
            <w:vAlign w:val="center"/>
          </w:tcPr>
          <w:p>
            <w:pPr>
              <w:spacing w:line="500" w:lineRule="exact"/>
              <w:jc w:val="center"/>
              <w:rPr>
                <w:rFonts w:hint="eastAsia" w:eastAsia="仿宋_GB2312" w:cs="Times New Roman"/>
              </w:rPr>
            </w:pPr>
            <w:r>
              <w:rPr>
                <w:rFonts w:eastAsia="黑体"/>
              </w:rPr>
              <w:t>…</w:t>
            </w:r>
          </w:p>
        </w:tc>
        <w:tc>
          <w:tcPr>
            <w:tcW w:w="1305" w:type="dxa"/>
            <w:vMerge w:val="restart"/>
            <w:vAlign w:val="center"/>
          </w:tcPr>
          <w:p>
            <w:pPr>
              <w:spacing w:line="500" w:lineRule="exact"/>
              <w:jc w:val="center"/>
              <w:rPr>
                <w:rFonts w:hint="eastAsia" w:eastAsia="仿宋_GB2312" w:cs="Times New Roman"/>
              </w:rPr>
            </w:pPr>
          </w:p>
        </w:tc>
        <w:tc>
          <w:tcPr>
            <w:tcW w:w="994" w:type="dxa"/>
            <w:vMerge w:val="restart"/>
            <w:vAlign w:val="center"/>
          </w:tcPr>
          <w:p>
            <w:pPr>
              <w:spacing w:line="500" w:lineRule="exact"/>
              <w:jc w:val="center"/>
              <w:rPr>
                <w:rFonts w:hint="eastAsia" w:eastAsia="仿宋_GB2312" w:cs="Times New Roman"/>
              </w:rPr>
            </w:pPr>
          </w:p>
        </w:tc>
        <w:tc>
          <w:tcPr>
            <w:tcW w:w="1560"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widowControl/>
              <w:jc w:val="left"/>
              <w:rPr>
                <w:rFonts w:hint="eastAsia" w:eastAsia="仿宋_GB2312" w:cs="Times New Roman"/>
              </w:rPr>
            </w:pPr>
          </w:p>
        </w:tc>
        <w:tc>
          <w:tcPr>
            <w:tcW w:w="1305" w:type="dxa"/>
            <w:vMerge w:val="continue"/>
            <w:vAlign w:val="center"/>
          </w:tcPr>
          <w:p>
            <w:pPr>
              <w:widowControl/>
              <w:jc w:val="left"/>
              <w:rPr>
                <w:rFonts w:hint="eastAsia" w:eastAsia="仿宋_GB2312" w:cs="Times New Roman"/>
              </w:rPr>
            </w:pPr>
          </w:p>
        </w:tc>
        <w:tc>
          <w:tcPr>
            <w:tcW w:w="994" w:type="dxa"/>
            <w:vMerge w:val="continue"/>
            <w:vAlign w:val="center"/>
          </w:tcPr>
          <w:p>
            <w:pPr>
              <w:widowControl/>
              <w:jc w:val="left"/>
              <w:rPr>
                <w:rFonts w:hint="eastAsia" w:eastAsia="仿宋_GB2312" w:cs="Times New Roman"/>
              </w:rPr>
            </w:pPr>
          </w:p>
        </w:tc>
        <w:tc>
          <w:tcPr>
            <w:tcW w:w="1560"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widowControl/>
              <w:jc w:val="left"/>
              <w:rPr>
                <w:rFonts w:hint="eastAsia" w:eastAsia="仿宋_GB2312" w:cs="Times New Roman"/>
              </w:rPr>
            </w:pPr>
          </w:p>
        </w:tc>
        <w:tc>
          <w:tcPr>
            <w:tcW w:w="1305" w:type="dxa"/>
            <w:vMerge w:val="continue"/>
            <w:vAlign w:val="center"/>
          </w:tcPr>
          <w:p>
            <w:pPr>
              <w:widowControl/>
              <w:jc w:val="left"/>
              <w:rPr>
                <w:rFonts w:hint="eastAsia" w:eastAsia="仿宋_GB2312" w:cs="Times New Roman"/>
              </w:rPr>
            </w:pPr>
          </w:p>
        </w:tc>
        <w:tc>
          <w:tcPr>
            <w:tcW w:w="994" w:type="dxa"/>
            <w:vMerge w:val="continue"/>
            <w:vAlign w:val="center"/>
          </w:tcPr>
          <w:p>
            <w:pPr>
              <w:widowControl/>
              <w:jc w:val="left"/>
              <w:rPr>
                <w:rFonts w:hint="eastAsia" w:eastAsia="仿宋_GB2312" w:cs="Times New Roman"/>
              </w:rPr>
            </w:pPr>
          </w:p>
        </w:tc>
        <w:tc>
          <w:tcPr>
            <w:tcW w:w="1560" w:type="dxa"/>
            <w:vAlign w:val="center"/>
          </w:tcPr>
          <w:p>
            <w:pPr>
              <w:spacing w:line="500" w:lineRule="exact"/>
              <w:jc w:val="center"/>
              <w:rPr>
                <w:rFonts w:hint="eastAsia" w:eastAsia="仿宋_GB2312" w:cs="Times New Roman"/>
              </w:rPr>
            </w:pPr>
            <w:r>
              <w:rPr>
                <w:rFonts w:eastAsia="黑体"/>
              </w:rPr>
              <w:t>……</w:t>
            </w: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bl>
    <w:p>
      <w:pPr>
        <w:spacing w:line="400" w:lineRule="exact"/>
        <w:rPr>
          <w:rFonts w:hint="eastAsia" w:cs="Times New Roman"/>
        </w:rPr>
      </w:pPr>
      <w:r>
        <w:rPr>
          <w:rFonts w:hint="eastAsia" w:ascii="黑体" w:hAnsi="黑体" w:eastAsia="黑体" w:cs="黑体"/>
        </w:rPr>
        <w:t>备注</w:t>
      </w:r>
      <w:r>
        <w:rPr>
          <w:rFonts w:hint="eastAsia" w:cs="宋体"/>
        </w:rPr>
        <w:t>：</w:t>
      </w:r>
      <w:r>
        <w:rPr>
          <w:rFonts w:hint="eastAsia" w:ascii="楷体" w:hAnsi="楷体" w:eastAsia="楷体" w:cs="楷体"/>
        </w:rPr>
        <w:t>纳管企业排放总量是以排放口排放浓度来计算。核定的排放总量是指经环保部门许可的排放量。</w:t>
      </w:r>
      <w:r>
        <w:rPr>
          <w:rFonts w:cs="Times New Roman"/>
        </w:rPr>
        <w:br w:type="page"/>
      </w:r>
    </w:p>
    <w:tbl>
      <w:tblPr>
        <w:tblStyle w:val="26"/>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303"/>
        <w:gridCol w:w="993"/>
        <w:gridCol w:w="1559"/>
        <w:gridCol w:w="1134"/>
        <w:gridCol w:w="1366"/>
        <w:gridCol w:w="853"/>
        <w:gridCol w:w="1134"/>
        <w:gridCol w:w="1275"/>
        <w:gridCol w:w="2464"/>
        <w:gridCol w:w="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830" w:type="dxa"/>
            <w:gridSpan w:val="11"/>
          </w:tcPr>
          <w:p>
            <w:pPr>
              <w:spacing w:line="600" w:lineRule="exact"/>
              <w:jc w:val="center"/>
              <w:rPr>
                <w:rFonts w:hint="eastAsia" w:eastAsia="仿宋_GB2312" w:cs="Times New Roman"/>
                <w:b/>
                <w:bCs/>
                <w:sz w:val="28"/>
                <w:szCs w:val="28"/>
              </w:rPr>
            </w:pPr>
            <w:r>
              <w:rPr>
                <w:rFonts w:hint="eastAsia" w:eastAsia="仿宋_GB2312" w:cs="仿宋_GB2312"/>
                <w:b/>
                <w:bCs/>
                <w:sz w:val="28"/>
                <w:szCs w:val="28"/>
              </w:rPr>
              <w:t>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31" w:type="dxa"/>
            <w:gridSpan w:val="6"/>
            <w:vAlign w:val="center"/>
          </w:tcPr>
          <w:p>
            <w:pPr>
              <w:spacing w:line="600" w:lineRule="exact"/>
              <w:jc w:val="center"/>
              <w:rPr>
                <w:rFonts w:hint="eastAsia" w:eastAsia="仿宋_GB2312" w:cs="Times New Roman"/>
                <w:sz w:val="24"/>
                <w:szCs w:val="24"/>
              </w:rPr>
            </w:pPr>
            <w:r>
              <w:rPr>
                <w:rFonts w:hint="eastAsia" w:eastAsia="仿宋_GB2312" w:cs="仿宋_GB2312"/>
                <w:sz w:val="24"/>
                <w:szCs w:val="24"/>
              </w:rPr>
              <w:t>排放口数量</w:t>
            </w:r>
          </w:p>
        </w:tc>
        <w:tc>
          <w:tcPr>
            <w:tcW w:w="6199" w:type="dxa"/>
            <w:gridSpan w:val="5"/>
          </w:tcPr>
          <w:p>
            <w:pPr>
              <w:spacing w:line="600" w:lineRule="exact"/>
              <w:jc w:val="center"/>
              <w:rPr>
                <w:rFonts w:hint="eastAsia"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排放口编号或名称</w:t>
            </w:r>
          </w:p>
        </w:tc>
        <w:tc>
          <w:tcPr>
            <w:tcW w:w="1303"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排放口位置</w:t>
            </w:r>
          </w:p>
        </w:tc>
        <w:tc>
          <w:tcPr>
            <w:tcW w:w="993"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排放方式</w:t>
            </w:r>
          </w:p>
        </w:tc>
        <w:tc>
          <w:tcPr>
            <w:tcW w:w="1559"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主要</w:t>
            </w:r>
            <w:r>
              <w:rPr>
                <w:rFonts w:eastAsia="仿宋_GB2312"/>
                <w:sz w:val="24"/>
                <w:szCs w:val="24"/>
              </w:rPr>
              <w:t>/</w:t>
            </w:r>
            <w:r>
              <w:rPr>
                <w:rFonts w:hint="eastAsia" w:eastAsia="仿宋_GB2312" w:cs="仿宋_GB2312"/>
                <w:sz w:val="24"/>
                <w:szCs w:val="24"/>
              </w:rPr>
              <w:t>特征污染物名称</w:t>
            </w:r>
          </w:p>
        </w:tc>
        <w:tc>
          <w:tcPr>
            <w:tcW w:w="1134"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排放浓度（</w:t>
            </w:r>
            <w:r>
              <w:rPr>
                <w:rFonts w:eastAsia="仿宋_GB2312"/>
                <w:sz w:val="24"/>
                <w:szCs w:val="24"/>
              </w:rPr>
              <w:t>mg/m</w:t>
            </w:r>
            <w:r>
              <w:rPr>
                <w:rFonts w:eastAsia="仿宋_GB2312"/>
                <w:sz w:val="24"/>
                <w:szCs w:val="24"/>
                <w:vertAlign w:val="superscript"/>
              </w:rPr>
              <w:t>3</w:t>
            </w:r>
            <w:r>
              <w:rPr>
                <w:rFonts w:hint="eastAsia" w:eastAsia="仿宋_GB2312" w:cs="仿宋_GB2312"/>
                <w:sz w:val="24"/>
                <w:szCs w:val="24"/>
              </w:rPr>
              <w:t>）</w:t>
            </w:r>
          </w:p>
        </w:tc>
        <w:tc>
          <w:tcPr>
            <w:tcW w:w="1366"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监测</w:t>
            </w:r>
          </w:p>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时间</w:t>
            </w:r>
          </w:p>
        </w:tc>
        <w:tc>
          <w:tcPr>
            <w:tcW w:w="853"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监测</w:t>
            </w:r>
          </w:p>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方式</w:t>
            </w:r>
          </w:p>
        </w:tc>
        <w:tc>
          <w:tcPr>
            <w:tcW w:w="1134" w:type="dxa"/>
            <w:vAlign w:val="center"/>
          </w:tcPr>
          <w:p>
            <w:pPr>
              <w:spacing w:line="600" w:lineRule="exact"/>
              <w:ind w:left="-105" w:leftChars="-50" w:right="-105" w:rightChars="-50"/>
              <w:jc w:val="center"/>
              <w:rPr>
                <w:rFonts w:hint="eastAsia" w:eastAsia="仿宋_GB2312"/>
                <w:sz w:val="24"/>
                <w:szCs w:val="24"/>
              </w:rPr>
            </w:pPr>
            <w:r>
              <w:rPr>
                <w:rFonts w:hint="eastAsia" w:eastAsia="仿宋_GB2312" w:cs="仿宋_GB2312"/>
                <w:sz w:val="24"/>
                <w:szCs w:val="24"/>
              </w:rPr>
              <w:t>排放总量</w:t>
            </w:r>
            <w:r>
              <w:rPr>
                <w:rFonts w:eastAsia="仿宋_GB2312"/>
                <w:sz w:val="24"/>
                <w:szCs w:val="24"/>
              </w:rPr>
              <w:t>(kg)</w:t>
            </w:r>
          </w:p>
        </w:tc>
        <w:tc>
          <w:tcPr>
            <w:tcW w:w="1275"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核定的排放总量（</w:t>
            </w:r>
            <w:r>
              <w:rPr>
                <w:rFonts w:eastAsia="仿宋_GB2312"/>
                <w:sz w:val="24"/>
                <w:szCs w:val="24"/>
              </w:rPr>
              <w:t>kg</w:t>
            </w:r>
            <w:r>
              <w:rPr>
                <w:rFonts w:hint="eastAsia" w:eastAsia="仿宋_GB2312" w:cs="仿宋_GB2312"/>
                <w:sz w:val="24"/>
                <w:szCs w:val="24"/>
              </w:rPr>
              <w:t>）</w:t>
            </w:r>
          </w:p>
        </w:tc>
        <w:tc>
          <w:tcPr>
            <w:tcW w:w="2464"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执行的污染物排放标准及浓度限值（</w:t>
            </w:r>
            <w:r>
              <w:rPr>
                <w:rFonts w:eastAsia="仿宋_GB2312"/>
                <w:sz w:val="24"/>
                <w:szCs w:val="24"/>
              </w:rPr>
              <w:t>mg/m</w:t>
            </w:r>
            <w:r>
              <w:rPr>
                <w:rFonts w:eastAsia="仿宋_GB2312"/>
                <w:sz w:val="24"/>
                <w:szCs w:val="24"/>
                <w:vertAlign w:val="superscript"/>
              </w:rPr>
              <w:t>3</w:t>
            </w:r>
            <w:r>
              <w:rPr>
                <w:rFonts w:hint="eastAsia" w:eastAsia="仿宋_GB2312" w:cs="仿宋_GB2312"/>
                <w:sz w:val="24"/>
                <w:szCs w:val="24"/>
              </w:rPr>
              <w:t>）</w:t>
            </w:r>
          </w:p>
        </w:tc>
        <w:tc>
          <w:tcPr>
            <w:tcW w:w="473"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是否</w:t>
            </w:r>
          </w:p>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rPr>
              <w:t>排放口1</w:t>
            </w:r>
          </w:p>
        </w:tc>
        <w:tc>
          <w:tcPr>
            <w:tcW w:w="1303" w:type="dxa"/>
            <w:vMerge w:val="restart"/>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1车间表面处理工序</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有组织</w:t>
            </w:r>
          </w:p>
        </w:tc>
        <w:tc>
          <w:tcPr>
            <w:tcW w:w="1559"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0.167</w:t>
            </w:r>
          </w:p>
        </w:tc>
        <w:tc>
          <w:tcPr>
            <w:tcW w:w="1366"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《合成革与人造革工业污染排放标准》GB21902-2008</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w:t>
            </w:r>
          </w:p>
        </w:tc>
        <w:tc>
          <w:tcPr>
            <w:tcW w:w="473"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二甲苯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0.612</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≤40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VOCs</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3.44</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《工业企业挥发性有机物排放控制标准》</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DB13/2322-2016:80</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≤150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rPr>
              <w:t>排放口2</w:t>
            </w:r>
          </w:p>
        </w:tc>
        <w:tc>
          <w:tcPr>
            <w:tcW w:w="1303" w:type="dxa"/>
            <w:vMerge w:val="restart"/>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1车间发泡工序</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有组织</w:t>
            </w: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0.6485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二甲苯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0.485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≤40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VOCs</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3.242</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《工业企业挥发性有机物排放控制标准》</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DB13/2322-2016:80</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≤150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eastAsia="zh-CN"/>
              </w:rPr>
              <w:t>排放口</w:t>
            </w:r>
            <w:r>
              <w:rPr>
                <w:rFonts w:hint="eastAsia" w:eastAsia="仿宋_GB2312" w:cs="仿宋_GB2312"/>
                <w:sz w:val="24"/>
                <w:szCs w:val="24"/>
                <w:lang w:val="en-US" w:eastAsia="zh-CN"/>
              </w:rPr>
              <w:t>3</w:t>
            </w:r>
          </w:p>
        </w:tc>
        <w:tc>
          <w:tcPr>
            <w:tcW w:w="1303" w:type="dxa"/>
            <w:vMerge w:val="restart"/>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1车间开布工序</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有组织</w:t>
            </w: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0.835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二甲苯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0.822</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≤40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VOCs</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4.205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《工业企业挥发性有机物排放控制标准》</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DB13/2322-2016:80</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≤150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eastAsia="zh-CN"/>
              </w:rPr>
              <w:t>排放口</w:t>
            </w:r>
            <w:r>
              <w:rPr>
                <w:rFonts w:hint="eastAsia" w:eastAsia="仿宋_GB2312" w:cs="仿宋_GB2312"/>
                <w:sz w:val="24"/>
                <w:szCs w:val="24"/>
                <w:lang w:val="en-US" w:eastAsia="zh-CN"/>
              </w:rPr>
              <w:t>4</w:t>
            </w:r>
          </w:p>
        </w:tc>
        <w:tc>
          <w:tcPr>
            <w:tcW w:w="1303" w:type="dxa"/>
            <w:vMerge w:val="restart"/>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2车间表面处理工序</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有组织</w:t>
            </w: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0.111</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二甲苯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0.671</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≤40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VOCs</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3.275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《工业企业挥发性有机物排放控制标准》</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DB13/2322-2016:80</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≤150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eastAsia="zh-CN"/>
              </w:rPr>
              <w:t>排放口</w:t>
            </w:r>
            <w:r>
              <w:rPr>
                <w:rFonts w:hint="eastAsia" w:eastAsia="仿宋_GB2312" w:cs="仿宋_GB2312"/>
                <w:sz w:val="24"/>
                <w:szCs w:val="24"/>
                <w:lang w:val="en-US" w:eastAsia="zh-CN"/>
              </w:rPr>
              <w:t>5</w:t>
            </w:r>
          </w:p>
        </w:tc>
        <w:tc>
          <w:tcPr>
            <w:tcW w:w="1303" w:type="dxa"/>
            <w:vMerge w:val="restart"/>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2车间密炼、开炼</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有组织</w:t>
            </w:r>
          </w:p>
        </w:tc>
        <w:tc>
          <w:tcPr>
            <w:tcW w:w="1559"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颗粒物</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4.425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0.086</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二甲苯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0.49</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≤40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VOCs</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11.925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《工业企业挥发性有机物排放控制标准》</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DB13/2322-2016:80</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≤150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eastAsia="zh-CN"/>
              </w:rPr>
              <w:t>排放口</w:t>
            </w:r>
            <w:r>
              <w:rPr>
                <w:rFonts w:hint="eastAsia" w:eastAsia="仿宋_GB2312" w:cs="仿宋_GB2312"/>
                <w:sz w:val="24"/>
                <w:szCs w:val="24"/>
                <w:lang w:val="en-US" w:eastAsia="zh-CN"/>
              </w:rPr>
              <w:t>6</w:t>
            </w:r>
          </w:p>
        </w:tc>
        <w:tc>
          <w:tcPr>
            <w:tcW w:w="1303" w:type="dxa"/>
            <w:vMerge w:val="restart"/>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2车间南发泡</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有组织</w:t>
            </w: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颗粒物</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3.875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0.065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二甲苯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0.340</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≤40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VOCs</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3.63</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《工业企业挥发性有机物排放控制标准》</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DB13/2322-2016:80</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≤150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排放口7</w:t>
            </w:r>
          </w:p>
        </w:tc>
        <w:tc>
          <w:tcPr>
            <w:tcW w:w="1303" w:type="dxa"/>
            <w:vMerge w:val="restart"/>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2车间北发泡</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有组织</w:t>
            </w: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颗粒物</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3.85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0.0572</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二甲苯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0.43</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≤40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VOCs</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4.3</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《工业企业挥发性有机物排放控制标准》</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DB13/2322-2016:80</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≤150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eastAsia="zh-CN"/>
              </w:rPr>
              <w:t>排放口</w:t>
            </w:r>
            <w:r>
              <w:rPr>
                <w:rFonts w:hint="eastAsia" w:eastAsia="仿宋_GB2312" w:cs="仿宋_GB2312"/>
                <w:sz w:val="24"/>
                <w:szCs w:val="24"/>
                <w:lang w:val="en-US" w:eastAsia="zh-CN"/>
              </w:rPr>
              <w:t>8</w:t>
            </w:r>
          </w:p>
        </w:tc>
        <w:tc>
          <w:tcPr>
            <w:tcW w:w="1303" w:type="dxa"/>
            <w:vMerge w:val="restart"/>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3车间密炼、开炼</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有组织</w:t>
            </w: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颗粒物</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4.625</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0.064</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二甲苯</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0.354</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《合成革与人造革工业污染排放标准》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GB21902-2008</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≤40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VOCs</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3.58</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《工业企业挥发性有机物排放控制标准》</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DB13/2322-2016:80</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≤150</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1276" w:type="dxa"/>
            <w:vMerge w:val="restart"/>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排放口</w:t>
            </w:r>
            <w:r>
              <w:rPr>
                <w:rFonts w:hint="eastAsia" w:eastAsia="仿宋_GB2312" w:cs="仿宋_GB2312"/>
                <w:sz w:val="24"/>
                <w:szCs w:val="24"/>
                <w:lang w:val="en-US" w:eastAsia="zh-CN"/>
              </w:rPr>
              <w:t>9</w:t>
            </w:r>
          </w:p>
        </w:tc>
        <w:tc>
          <w:tcPr>
            <w:tcW w:w="1303" w:type="dxa"/>
            <w:vMerge w:val="restart"/>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有机热载体锅炉</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有组织</w:t>
            </w: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颗粒物</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1.7</w:t>
            </w:r>
          </w:p>
        </w:tc>
        <w:tc>
          <w:tcPr>
            <w:tcW w:w="1366"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2020.3.18</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《锅炉大气污染物排放标准》</w:t>
            </w:r>
          </w:p>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GB13271-2014</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3" w:hRule="atLeas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二氧化硫</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10</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2020.3.18</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0.127</w:t>
            </w:r>
            <w:bookmarkStart w:id="0" w:name="_GoBack"/>
            <w:bookmarkEnd w:id="0"/>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0.0048</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《锅炉大气污染物排放标准》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GB13271-2014</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氮氧化物</w:t>
            </w:r>
          </w:p>
        </w:tc>
        <w:tc>
          <w:tcPr>
            <w:tcW w:w="1134" w:type="dxa"/>
            <w:vAlign w:val="center"/>
          </w:tcPr>
          <w:p>
            <w:pPr>
              <w:spacing w:line="60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50</w:t>
            </w:r>
          </w:p>
        </w:tc>
        <w:tc>
          <w:tcPr>
            <w:tcW w:w="1366"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2020.3.18</w:t>
            </w:r>
          </w:p>
        </w:tc>
        <w:tc>
          <w:tcPr>
            <w:tcW w:w="853"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自行监测</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0.594</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0.323672</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《锅炉大气污染物排放标准》</w:t>
            </w:r>
          </w:p>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GB13271-2014</w:t>
            </w:r>
          </w:p>
        </w:tc>
        <w:tc>
          <w:tcPr>
            <w:tcW w:w="473" w:type="dxa"/>
            <w:vAlign w:val="center"/>
          </w:tcPr>
          <w:p>
            <w:pPr>
              <w:spacing w:line="60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否</w:t>
            </w:r>
          </w:p>
        </w:tc>
      </w:tr>
    </w:tbl>
    <w:p>
      <w:pPr>
        <w:spacing w:line="560" w:lineRule="exact"/>
        <w:rPr>
          <w:rFonts w:hint="eastAsia" w:cs="Times New Roman"/>
        </w:rPr>
      </w:pPr>
      <w:r>
        <w:rPr>
          <w:rFonts w:cs="Times New Roman"/>
        </w:rPr>
        <w:br w:type="page"/>
      </w:r>
    </w:p>
    <w:tbl>
      <w:tblPr>
        <w:tblStyle w:val="26"/>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293"/>
        <w:gridCol w:w="2704"/>
        <w:gridCol w:w="71"/>
        <w:gridCol w:w="2710"/>
        <w:gridCol w:w="54"/>
        <w:gridCol w:w="1697"/>
        <w:gridCol w:w="1563"/>
        <w:gridCol w:w="7"/>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830" w:type="dxa"/>
            <w:gridSpan w:val="10"/>
            <w:vAlign w:val="center"/>
          </w:tcPr>
          <w:p>
            <w:pPr>
              <w:spacing w:line="500" w:lineRule="exact"/>
              <w:ind w:left="-105" w:leftChars="-50" w:right="-105" w:rightChars="-50"/>
              <w:jc w:val="center"/>
              <w:rPr>
                <w:rFonts w:hint="eastAsia" w:eastAsia="仿宋_GB2312" w:cs="Times New Roman"/>
                <w:b/>
                <w:bCs/>
                <w:sz w:val="28"/>
                <w:szCs w:val="28"/>
              </w:rPr>
            </w:pPr>
            <w:r>
              <w:rPr>
                <w:rFonts w:hint="eastAsia" w:eastAsia="仿宋_GB2312" w:cs="仿宋_GB2312"/>
                <w:b/>
                <w:bCs/>
                <w:sz w:val="28"/>
                <w:szCs w:val="28"/>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废物名称</w:t>
            </w:r>
          </w:p>
        </w:tc>
        <w:tc>
          <w:tcPr>
            <w:tcW w:w="2704" w:type="dxa"/>
            <w:vAlign w:val="center"/>
          </w:tcPr>
          <w:p>
            <w:pPr>
              <w:spacing w:line="5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是否危险废物</w:t>
            </w:r>
          </w:p>
        </w:tc>
        <w:tc>
          <w:tcPr>
            <w:tcW w:w="2835" w:type="dxa"/>
            <w:gridSpan w:val="3"/>
            <w:vAlign w:val="center"/>
          </w:tcPr>
          <w:p>
            <w:pPr>
              <w:spacing w:line="5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处理处置方式</w:t>
            </w:r>
          </w:p>
        </w:tc>
        <w:tc>
          <w:tcPr>
            <w:tcW w:w="3260" w:type="dxa"/>
            <w:gridSpan w:val="2"/>
            <w:vAlign w:val="center"/>
          </w:tcPr>
          <w:p>
            <w:pPr>
              <w:spacing w:line="500" w:lineRule="exact"/>
              <w:ind w:left="-105" w:leftChars="-50" w:right="-105" w:rightChars="-50"/>
              <w:jc w:val="center"/>
              <w:rPr>
                <w:rFonts w:hint="eastAsia" w:eastAsia="仿宋_GB2312" w:cs="Times New Roman"/>
                <w:sz w:val="24"/>
                <w:szCs w:val="24"/>
                <w:highlight w:val="none"/>
              </w:rPr>
            </w:pPr>
            <w:r>
              <w:rPr>
                <w:rFonts w:hint="eastAsia" w:eastAsia="仿宋_GB2312" w:cs="仿宋_GB2312"/>
                <w:sz w:val="24"/>
                <w:szCs w:val="24"/>
                <w:highlight w:val="none"/>
              </w:rPr>
              <w:t>处理处置数量（</w:t>
            </w:r>
            <w:r>
              <w:rPr>
                <w:rFonts w:eastAsia="仿宋_GB2312"/>
                <w:sz w:val="24"/>
                <w:szCs w:val="24"/>
                <w:highlight w:val="none"/>
              </w:rPr>
              <w:t>kg</w:t>
            </w:r>
            <w:r>
              <w:rPr>
                <w:rFonts w:hint="eastAsia" w:eastAsia="仿宋_GB2312" w:cs="仿宋_GB2312"/>
                <w:sz w:val="24"/>
                <w:szCs w:val="24"/>
                <w:highlight w:val="none"/>
              </w:rPr>
              <w:t>）</w:t>
            </w:r>
          </w:p>
        </w:tc>
        <w:tc>
          <w:tcPr>
            <w:tcW w:w="2462" w:type="dxa"/>
            <w:gridSpan w:val="2"/>
            <w:vAlign w:val="center"/>
          </w:tcPr>
          <w:p>
            <w:pPr>
              <w:spacing w:line="500" w:lineRule="exact"/>
              <w:ind w:right="-105" w:rightChars="-50"/>
              <w:jc w:val="center"/>
              <w:rPr>
                <w:rFonts w:hint="eastAsia" w:eastAsia="仿宋_GB2312" w:cs="Times New Roman"/>
                <w:sz w:val="24"/>
                <w:szCs w:val="24"/>
                <w:highlight w:val="none"/>
              </w:rPr>
            </w:pPr>
            <w:r>
              <w:rPr>
                <w:rFonts w:hint="eastAsia" w:eastAsia="仿宋_GB2312" w:cs="仿宋_GB2312"/>
                <w:sz w:val="24"/>
                <w:szCs w:val="24"/>
                <w:highlight w:val="none"/>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pacing w:before="100" w:beforeAutospacing="1" w:after="100" w:afterAutospacing="1"/>
              <w:ind w:left="-105"/>
              <w:jc w:val="center"/>
              <w:rPr>
                <w:rFonts w:hint="eastAsia" w:eastAsia="仿宋_GB2312" w:cs="Times New Roman"/>
                <w:sz w:val="24"/>
                <w:szCs w:val="24"/>
                <w:lang w:val="en-US" w:eastAsia="zh-CN"/>
              </w:rPr>
            </w:pPr>
            <w:r>
              <w:rPr>
                <w:rFonts w:hint="eastAsia" w:eastAsia="仿宋_GB2312" w:cs="Times New Roman"/>
                <w:sz w:val="24"/>
                <w:szCs w:val="24"/>
                <w:lang w:val="en-US" w:eastAsia="zh-CN"/>
              </w:rPr>
              <w:t>活性炭</w:t>
            </w:r>
          </w:p>
        </w:tc>
        <w:tc>
          <w:tcPr>
            <w:tcW w:w="2704" w:type="dxa"/>
            <w:vAlign w:val="center"/>
          </w:tcPr>
          <w:p>
            <w:pPr>
              <w:widowControl/>
              <w:spacing w:before="100" w:beforeAutospacing="1" w:after="100" w:afterAutospacing="1"/>
              <w:ind w:left="-105"/>
              <w:jc w:val="center"/>
              <w:rPr>
                <w:rFonts w:hint="eastAsia" w:eastAsia="仿宋_GB2312" w:cs="Times New Roman"/>
                <w:sz w:val="24"/>
                <w:szCs w:val="24"/>
                <w:lang w:eastAsia="zh-CN"/>
              </w:rPr>
            </w:pPr>
            <w:r>
              <w:rPr>
                <w:rFonts w:hint="eastAsia" w:eastAsia="仿宋_GB2312" w:cs="Times New Roman"/>
                <w:sz w:val="24"/>
                <w:szCs w:val="24"/>
                <w:lang w:eastAsia="zh-CN"/>
              </w:rPr>
              <w:t>是</w:t>
            </w:r>
          </w:p>
        </w:tc>
        <w:tc>
          <w:tcPr>
            <w:tcW w:w="2835" w:type="dxa"/>
            <w:gridSpan w:val="3"/>
            <w:vAlign w:val="center"/>
          </w:tcPr>
          <w:p>
            <w:pPr>
              <w:widowControl/>
              <w:spacing w:before="100" w:beforeAutospacing="1" w:after="100" w:afterAutospacing="1"/>
              <w:ind w:left="-105"/>
              <w:jc w:val="center"/>
              <w:rPr>
                <w:rFonts w:hint="default" w:eastAsia="仿宋_GB2312" w:cs="Times New Roman"/>
                <w:sz w:val="24"/>
                <w:szCs w:val="24"/>
                <w:lang w:val="en-US" w:eastAsia="zh-CN"/>
              </w:rPr>
            </w:pPr>
            <w:r>
              <w:rPr>
                <w:rFonts w:hint="eastAsia" w:eastAsia="仿宋_GB2312" w:cs="Times New Roman"/>
                <w:sz w:val="24"/>
                <w:szCs w:val="24"/>
                <w:lang w:val="en-US" w:eastAsia="zh-CN"/>
              </w:rPr>
              <w:t>暂存危废间</w:t>
            </w:r>
          </w:p>
        </w:tc>
        <w:tc>
          <w:tcPr>
            <w:tcW w:w="3260" w:type="dxa"/>
            <w:gridSpan w:val="2"/>
            <w:vAlign w:val="center"/>
          </w:tcPr>
          <w:p>
            <w:pPr>
              <w:widowControl/>
              <w:spacing w:before="100" w:beforeAutospacing="1" w:after="100" w:afterAutospacing="1"/>
              <w:ind w:left="-105"/>
              <w:jc w:val="center"/>
              <w:rPr>
                <w:rFonts w:hint="default" w:eastAsia="仿宋_GB2312" w:cs="Times New Roman"/>
                <w:sz w:val="24"/>
                <w:szCs w:val="24"/>
                <w:highlight w:val="yellow"/>
                <w:lang w:val="en-US" w:eastAsia="zh-CN"/>
              </w:rPr>
            </w:pPr>
            <w:r>
              <w:rPr>
                <w:rFonts w:hint="eastAsia" w:eastAsia="仿宋_GB2312" w:cs="Times New Roman"/>
                <w:sz w:val="24"/>
                <w:szCs w:val="24"/>
                <w:highlight w:val="none"/>
                <w:lang w:val="en-US" w:eastAsia="zh-CN"/>
              </w:rPr>
              <w:t>无</w:t>
            </w:r>
          </w:p>
        </w:tc>
        <w:tc>
          <w:tcPr>
            <w:tcW w:w="2462" w:type="dxa"/>
            <w:gridSpan w:val="2"/>
            <w:vAlign w:val="center"/>
          </w:tcPr>
          <w:p>
            <w:pPr>
              <w:widowControl/>
              <w:tabs>
                <w:tab w:val="right" w:pos="2246"/>
              </w:tabs>
              <w:spacing w:before="100" w:beforeAutospacing="1" w:after="100" w:afterAutospacing="1"/>
              <w:jc w:val="left"/>
              <w:rPr>
                <w:rFonts w:hint="default" w:eastAsia="仿宋_GB2312" w:cs="Times New Roman"/>
                <w:sz w:val="24"/>
                <w:szCs w:val="24"/>
                <w:highlight w:val="yellow"/>
                <w:lang w:val="en-US" w:eastAsia="zh-CN"/>
              </w:rPr>
            </w:pPr>
            <w:r>
              <w:rPr>
                <w:rFonts w:hint="eastAsia" w:eastAsia="仿宋_GB2312" w:cs="Times New Roman"/>
                <w:sz w:val="24"/>
                <w:szCs w:val="24"/>
                <w:highlight w:val="none"/>
                <w:lang w:eastAsia="zh-CN"/>
              </w:rPr>
              <w:t>河北风华环保科技有限公司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pacing w:before="100" w:beforeAutospacing="1" w:after="100" w:afterAutospacing="1"/>
              <w:ind w:left="-105"/>
              <w:jc w:val="center"/>
              <w:rPr>
                <w:rFonts w:hint="default" w:eastAsia="仿宋_GB2312" w:cs="Times New Roman"/>
                <w:sz w:val="24"/>
                <w:szCs w:val="24"/>
                <w:lang w:val="en-US" w:eastAsia="zh-CN"/>
              </w:rPr>
            </w:pPr>
            <w:r>
              <w:rPr>
                <w:rFonts w:hint="eastAsia" w:eastAsia="仿宋_GB2312" w:cs="Times New Roman"/>
                <w:sz w:val="24"/>
                <w:szCs w:val="24"/>
                <w:lang w:val="en-US" w:eastAsia="zh-CN"/>
              </w:rPr>
              <w:t>灯管</w:t>
            </w:r>
          </w:p>
        </w:tc>
        <w:tc>
          <w:tcPr>
            <w:tcW w:w="2704" w:type="dxa"/>
            <w:vAlign w:val="center"/>
          </w:tcPr>
          <w:p>
            <w:pPr>
              <w:widowControl/>
              <w:spacing w:before="100" w:beforeAutospacing="1" w:after="100" w:afterAutospacing="1"/>
              <w:ind w:left="-105"/>
              <w:jc w:val="center"/>
              <w:rPr>
                <w:rFonts w:hint="eastAsia" w:eastAsia="仿宋_GB2312" w:cs="Times New Roman"/>
                <w:sz w:val="24"/>
                <w:szCs w:val="24"/>
                <w:lang w:val="en-US" w:eastAsia="zh-CN"/>
              </w:rPr>
            </w:pPr>
            <w:r>
              <w:rPr>
                <w:rFonts w:hint="eastAsia" w:eastAsia="仿宋_GB2312" w:cs="Times New Roman"/>
                <w:sz w:val="24"/>
                <w:szCs w:val="24"/>
                <w:lang w:val="en-US" w:eastAsia="zh-CN"/>
              </w:rPr>
              <w:t>是</w:t>
            </w:r>
          </w:p>
        </w:tc>
        <w:tc>
          <w:tcPr>
            <w:tcW w:w="2835" w:type="dxa"/>
            <w:gridSpan w:val="3"/>
            <w:vAlign w:val="center"/>
          </w:tcPr>
          <w:p>
            <w:pPr>
              <w:widowControl/>
              <w:spacing w:before="100" w:beforeAutospacing="1" w:after="100" w:afterAutospacing="1"/>
              <w:ind w:left="-105" w:leftChars="0"/>
              <w:jc w:val="center"/>
              <w:rPr>
                <w:rFonts w:hint="default"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暂存危废间</w:t>
            </w:r>
          </w:p>
        </w:tc>
        <w:tc>
          <w:tcPr>
            <w:tcW w:w="3260" w:type="dxa"/>
            <w:gridSpan w:val="2"/>
            <w:vAlign w:val="center"/>
          </w:tcPr>
          <w:p>
            <w:pPr>
              <w:widowControl/>
              <w:spacing w:before="100" w:beforeAutospacing="1" w:after="100" w:afterAutospacing="1"/>
              <w:ind w:left="-105" w:leftChars="0"/>
              <w:jc w:val="center"/>
              <w:rPr>
                <w:rFonts w:hint="default" w:ascii="Calibri" w:hAnsi="Calibri" w:eastAsia="仿宋_GB2312" w:cs="Times New Roman"/>
                <w:kern w:val="2"/>
                <w:sz w:val="24"/>
                <w:szCs w:val="24"/>
                <w:highlight w:val="yellow"/>
                <w:lang w:val="en-US" w:eastAsia="zh-CN" w:bidi="ar-SA"/>
              </w:rPr>
            </w:pPr>
            <w:r>
              <w:rPr>
                <w:rFonts w:hint="eastAsia" w:eastAsia="仿宋_GB2312" w:cs="Times New Roman"/>
                <w:kern w:val="2"/>
                <w:sz w:val="24"/>
                <w:szCs w:val="24"/>
                <w:highlight w:val="none"/>
                <w:lang w:val="en-US" w:eastAsia="zh-CN" w:bidi="ar-SA"/>
              </w:rPr>
              <w:t>78根</w:t>
            </w:r>
          </w:p>
        </w:tc>
        <w:tc>
          <w:tcPr>
            <w:tcW w:w="2462" w:type="dxa"/>
            <w:gridSpan w:val="2"/>
            <w:vAlign w:val="center"/>
          </w:tcPr>
          <w:p>
            <w:pPr>
              <w:widowControl/>
              <w:spacing w:before="100" w:beforeAutospacing="1" w:after="100" w:afterAutospacing="1"/>
              <w:jc w:val="left"/>
              <w:rPr>
                <w:rFonts w:hint="eastAsia" w:ascii="Calibri" w:hAnsi="Calibri" w:eastAsia="仿宋_GB2312" w:cs="Times New Roman"/>
                <w:kern w:val="2"/>
                <w:sz w:val="24"/>
                <w:szCs w:val="24"/>
                <w:highlight w:val="yellow"/>
                <w:lang w:val="en-US" w:eastAsia="zh-CN" w:bidi="ar-SA"/>
              </w:rPr>
            </w:pPr>
            <w:r>
              <w:rPr>
                <w:rFonts w:hint="eastAsia" w:eastAsia="仿宋_GB2312" w:cs="Times New Roman"/>
                <w:kern w:val="2"/>
                <w:sz w:val="24"/>
                <w:szCs w:val="24"/>
                <w:highlight w:val="none"/>
                <w:lang w:val="en-US" w:eastAsia="zh-CN" w:bidi="ar-SA"/>
              </w:rPr>
              <w:t>河北佐英环境工程技术有限公司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ind w:left="-105" w:leftChars="-50" w:right="-105" w:rightChars="-50"/>
              <w:jc w:val="center"/>
              <w:rPr>
                <w:rFonts w:hint="eastAsia" w:eastAsia="仿宋_GB2312" w:cs="Times New Roman"/>
                <w:sz w:val="24"/>
                <w:szCs w:val="24"/>
              </w:rPr>
            </w:pPr>
          </w:p>
        </w:tc>
        <w:tc>
          <w:tcPr>
            <w:tcW w:w="2704" w:type="dxa"/>
            <w:vAlign w:val="center"/>
          </w:tcPr>
          <w:p>
            <w:pPr>
              <w:spacing w:line="500" w:lineRule="exact"/>
              <w:ind w:left="-105" w:leftChars="-50" w:right="-105" w:rightChars="-50"/>
              <w:jc w:val="center"/>
              <w:rPr>
                <w:rFonts w:hint="eastAsia" w:eastAsia="仿宋_GB2312" w:cs="Times New Roman"/>
                <w:sz w:val="24"/>
                <w:szCs w:val="24"/>
              </w:rPr>
            </w:pPr>
          </w:p>
        </w:tc>
        <w:tc>
          <w:tcPr>
            <w:tcW w:w="2835" w:type="dxa"/>
            <w:gridSpan w:val="3"/>
            <w:vAlign w:val="center"/>
          </w:tcPr>
          <w:p>
            <w:pPr>
              <w:spacing w:line="500" w:lineRule="exact"/>
              <w:ind w:left="-105" w:leftChars="-50" w:right="-105" w:rightChars="-50"/>
              <w:jc w:val="center"/>
              <w:rPr>
                <w:rFonts w:hint="eastAsia" w:eastAsia="仿宋_GB2312" w:cs="Times New Roman"/>
                <w:sz w:val="24"/>
                <w:szCs w:val="24"/>
              </w:rPr>
            </w:pPr>
          </w:p>
        </w:tc>
        <w:tc>
          <w:tcPr>
            <w:tcW w:w="3260" w:type="dxa"/>
            <w:gridSpan w:val="2"/>
            <w:vAlign w:val="center"/>
          </w:tcPr>
          <w:p>
            <w:pPr>
              <w:spacing w:line="500" w:lineRule="exact"/>
              <w:ind w:left="-105" w:leftChars="-50" w:right="-105" w:rightChars="-50"/>
              <w:jc w:val="center"/>
              <w:rPr>
                <w:rFonts w:hint="eastAsia" w:eastAsia="仿宋_GB2312" w:cs="Times New Roman"/>
                <w:sz w:val="24"/>
                <w:szCs w:val="24"/>
              </w:rPr>
            </w:pPr>
          </w:p>
        </w:tc>
        <w:tc>
          <w:tcPr>
            <w:tcW w:w="2462" w:type="dxa"/>
            <w:gridSpan w:val="2"/>
            <w:vAlign w:val="center"/>
          </w:tcPr>
          <w:p>
            <w:pPr>
              <w:spacing w:line="50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830" w:type="dxa"/>
            <w:gridSpan w:val="10"/>
            <w:vAlign w:val="center"/>
          </w:tcPr>
          <w:p>
            <w:pPr>
              <w:spacing w:line="500" w:lineRule="exact"/>
              <w:jc w:val="center"/>
              <w:rPr>
                <w:rFonts w:hint="eastAsia" w:eastAsia="仿宋_GB2312" w:cs="Times New Roman"/>
                <w:b/>
                <w:bCs/>
                <w:sz w:val="28"/>
                <w:szCs w:val="28"/>
              </w:rPr>
            </w:pPr>
            <w:r>
              <w:rPr>
                <w:rFonts w:hint="eastAsia" w:eastAsia="仿宋_GB2312" w:cs="仿宋_GB2312"/>
                <w:b/>
                <w:bCs/>
                <w:sz w:val="28"/>
                <w:szCs w:val="28"/>
              </w:rPr>
              <w:t>噪声（</w:t>
            </w:r>
            <w:r>
              <w:rPr>
                <w:rFonts w:hint="eastAsia" w:eastAsia="仿宋_GB2312" w:cs="仿宋_GB2312"/>
                <w:b/>
                <w:bCs/>
                <w:color w:val="000000"/>
                <w:sz w:val="28"/>
                <w:szCs w:val="28"/>
              </w:rPr>
              <w:t>周边有噪声敏感建筑物的单位应当公开，其他单位自愿公开）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Merge w:val="restart"/>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厂界位置</w:t>
            </w:r>
          </w:p>
        </w:tc>
        <w:tc>
          <w:tcPr>
            <w:tcW w:w="5485" w:type="dxa"/>
            <w:gridSpan w:val="3"/>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噪声值（</w:t>
            </w:r>
            <w:r>
              <w:rPr>
                <w:rFonts w:eastAsia="仿宋_GB2312"/>
                <w:color w:val="000000"/>
                <w:sz w:val="24"/>
                <w:szCs w:val="24"/>
              </w:rPr>
              <w:t>dB</w:t>
            </w:r>
            <w:r>
              <w:rPr>
                <w:rFonts w:hint="eastAsia" w:eastAsia="仿宋_GB2312" w:cs="仿宋_GB2312"/>
                <w:color w:val="000000"/>
                <w:sz w:val="24"/>
                <w:szCs w:val="24"/>
              </w:rPr>
              <w:t>）</w:t>
            </w:r>
          </w:p>
        </w:tc>
        <w:tc>
          <w:tcPr>
            <w:tcW w:w="3321" w:type="dxa"/>
            <w:gridSpan w:val="4"/>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执行的厂界噪声排放标准限值（</w:t>
            </w:r>
            <w:r>
              <w:rPr>
                <w:rFonts w:eastAsia="仿宋_GB2312"/>
                <w:color w:val="000000"/>
                <w:sz w:val="24"/>
                <w:szCs w:val="24"/>
              </w:rPr>
              <w:t>dB</w:t>
            </w:r>
            <w:r>
              <w:rPr>
                <w:rFonts w:hint="eastAsia" w:eastAsia="仿宋_GB2312" w:cs="仿宋_GB2312"/>
                <w:color w:val="000000"/>
                <w:sz w:val="24"/>
                <w:szCs w:val="24"/>
              </w:rPr>
              <w:t>）</w:t>
            </w:r>
          </w:p>
        </w:tc>
        <w:tc>
          <w:tcPr>
            <w:tcW w:w="2455" w:type="dxa"/>
            <w:vMerge w:val="restart"/>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超标</w:t>
            </w:r>
          </w:p>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Merge w:val="continue"/>
            <w:vAlign w:val="center"/>
          </w:tcPr>
          <w:p>
            <w:pPr>
              <w:widowControl/>
              <w:jc w:val="left"/>
              <w:rPr>
                <w:rFonts w:hint="eastAsia" w:eastAsia="仿宋_GB2312" w:cs="Times New Roman"/>
                <w:color w:val="000000"/>
                <w:sz w:val="24"/>
                <w:szCs w:val="24"/>
              </w:rPr>
            </w:pPr>
          </w:p>
        </w:tc>
        <w:tc>
          <w:tcPr>
            <w:tcW w:w="2775" w:type="dxa"/>
            <w:gridSpan w:val="2"/>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昼间</w:t>
            </w:r>
          </w:p>
        </w:tc>
        <w:tc>
          <w:tcPr>
            <w:tcW w:w="2710" w:type="dxa"/>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夜间</w:t>
            </w:r>
          </w:p>
        </w:tc>
        <w:tc>
          <w:tcPr>
            <w:tcW w:w="1751" w:type="dxa"/>
            <w:gridSpan w:val="2"/>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昼间</w:t>
            </w:r>
          </w:p>
        </w:tc>
        <w:tc>
          <w:tcPr>
            <w:tcW w:w="1570" w:type="dxa"/>
            <w:gridSpan w:val="2"/>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夜间</w:t>
            </w:r>
          </w:p>
        </w:tc>
        <w:tc>
          <w:tcPr>
            <w:tcW w:w="2455" w:type="dxa"/>
            <w:vMerge w:val="continue"/>
            <w:vAlign w:val="center"/>
          </w:tcPr>
          <w:p>
            <w:pPr>
              <w:widowControl/>
              <w:jc w:val="left"/>
              <w:rPr>
                <w:rFonts w:hint="eastAsia"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rPr>
              <w:t> 东</w:t>
            </w:r>
          </w:p>
        </w:tc>
        <w:tc>
          <w:tcPr>
            <w:tcW w:w="2775" w:type="dxa"/>
            <w:gridSpan w:val="2"/>
            <w:vAlign w:val="center"/>
          </w:tcPr>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lang w:val="en-US" w:eastAsia="zh-CN"/>
              </w:rPr>
              <w:t>57.4</w:t>
            </w:r>
          </w:p>
        </w:tc>
        <w:tc>
          <w:tcPr>
            <w:tcW w:w="2710" w:type="dxa"/>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lang w:val="en-US" w:eastAsia="zh-CN"/>
              </w:rPr>
              <w:t>46.9</w:t>
            </w:r>
            <w:r>
              <w:rPr>
                <w:rFonts w:hint="eastAsia" w:eastAsia="仿宋_GB2312" w:cs="仿宋_GB2312"/>
                <w:color w:val="000000"/>
                <w:sz w:val="24"/>
                <w:szCs w:val="24"/>
              </w:rPr>
              <w:t> </w:t>
            </w:r>
          </w:p>
        </w:tc>
        <w:tc>
          <w:tcPr>
            <w:tcW w:w="3321" w:type="dxa"/>
            <w:gridSpan w:val="4"/>
            <w:vMerge w:val="restart"/>
            <w:vAlign w:val="center"/>
          </w:tcPr>
          <w:p>
            <w:pPr>
              <w:spacing w:line="500" w:lineRule="exact"/>
              <w:jc w:val="center"/>
              <w:rPr>
                <w:rFonts w:hint="eastAsia" w:eastAsia="仿宋_GB2312" w:cs="仿宋_GB2312"/>
                <w:color w:val="000000"/>
                <w:sz w:val="24"/>
                <w:szCs w:val="24"/>
                <w:lang w:val="en-US" w:eastAsia="zh-CN"/>
              </w:rPr>
            </w:pPr>
            <w:r>
              <w:rPr>
                <w:rFonts w:hint="eastAsia" w:eastAsia="仿宋_GB2312" w:cs="仿宋_GB2312"/>
                <w:color w:val="000000"/>
                <w:sz w:val="24"/>
                <w:szCs w:val="24"/>
                <w:lang w:eastAsia="zh-CN"/>
              </w:rPr>
              <w:t>昼间≤</w:t>
            </w:r>
            <w:r>
              <w:rPr>
                <w:rFonts w:hint="eastAsia" w:eastAsia="仿宋_GB2312" w:cs="仿宋_GB2312"/>
                <w:color w:val="000000"/>
                <w:sz w:val="24"/>
                <w:szCs w:val="24"/>
                <w:lang w:val="en-US" w:eastAsia="zh-CN"/>
              </w:rPr>
              <w:t>60</w:t>
            </w:r>
          </w:p>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lang w:val="en-US" w:eastAsia="zh-CN"/>
              </w:rPr>
              <w:t>夜间≤50</w:t>
            </w:r>
          </w:p>
        </w:tc>
        <w:tc>
          <w:tcPr>
            <w:tcW w:w="2455" w:type="dxa"/>
            <w:vAlign w:val="center"/>
          </w:tcPr>
          <w:p>
            <w:pPr>
              <w:spacing w:line="500" w:lineRule="exact"/>
              <w:jc w:val="center"/>
              <w:rPr>
                <w:rFonts w:hint="eastAsia" w:eastAsia="仿宋_GB2312" w:cs="仿宋_GB2312"/>
                <w:color w:val="000000"/>
                <w:sz w:val="24"/>
                <w:szCs w:val="24"/>
                <w:lang w:eastAsia="zh-CN"/>
              </w:rPr>
            </w:pPr>
            <w:r>
              <w:rPr>
                <w:rFonts w:hint="eastAsia" w:eastAsia="仿宋_GB2312" w:cs="仿宋_GB2312"/>
                <w:color w:val="000000"/>
                <w:sz w:val="24"/>
                <w:szCs w:val="24"/>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rPr>
              <w:t> 南</w:t>
            </w:r>
          </w:p>
        </w:tc>
        <w:tc>
          <w:tcPr>
            <w:tcW w:w="2775" w:type="dxa"/>
            <w:gridSpan w:val="2"/>
            <w:vAlign w:val="center"/>
          </w:tcPr>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rPr>
              <w:t> </w:t>
            </w:r>
            <w:r>
              <w:rPr>
                <w:rFonts w:hint="eastAsia" w:eastAsia="仿宋_GB2312" w:cs="仿宋_GB2312"/>
                <w:color w:val="000000"/>
                <w:sz w:val="24"/>
                <w:szCs w:val="24"/>
                <w:lang w:val="en-US" w:eastAsia="zh-CN"/>
              </w:rPr>
              <w:t>58.3</w:t>
            </w:r>
          </w:p>
        </w:tc>
        <w:tc>
          <w:tcPr>
            <w:tcW w:w="2710" w:type="dxa"/>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lang w:val="en-US" w:eastAsia="zh-CN"/>
              </w:rPr>
              <w:t>48.7</w:t>
            </w:r>
            <w:r>
              <w:rPr>
                <w:rFonts w:hint="eastAsia" w:eastAsia="仿宋_GB2312" w:cs="仿宋_GB2312"/>
                <w:color w:val="000000"/>
                <w:sz w:val="24"/>
                <w:szCs w:val="24"/>
              </w:rPr>
              <w:t> </w:t>
            </w:r>
          </w:p>
        </w:tc>
        <w:tc>
          <w:tcPr>
            <w:tcW w:w="3321" w:type="dxa"/>
            <w:gridSpan w:val="4"/>
            <w:vMerge w:val="continue"/>
            <w:vAlign w:val="center"/>
          </w:tcPr>
          <w:p>
            <w:pPr>
              <w:spacing w:line="500" w:lineRule="exact"/>
              <w:jc w:val="center"/>
              <w:rPr>
                <w:rFonts w:hint="eastAsia" w:eastAsia="仿宋_GB2312" w:cs="仿宋_GB2312"/>
                <w:color w:val="000000"/>
                <w:sz w:val="24"/>
                <w:szCs w:val="24"/>
              </w:rPr>
            </w:pPr>
          </w:p>
        </w:tc>
        <w:tc>
          <w:tcPr>
            <w:tcW w:w="2455" w:type="dxa"/>
            <w:vAlign w:val="center"/>
          </w:tcPr>
          <w:p>
            <w:pPr>
              <w:spacing w:line="500" w:lineRule="exact"/>
              <w:jc w:val="center"/>
              <w:rPr>
                <w:rFonts w:hint="eastAsia" w:eastAsia="仿宋_GB2312" w:cs="仿宋_GB2312"/>
                <w:color w:val="000000"/>
                <w:sz w:val="24"/>
                <w:szCs w:val="24"/>
                <w:lang w:eastAsia="zh-CN"/>
              </w:rPr>
            </w:pPr>
            <w:r>
              <w:rPr>
                <w:rFonts w:hint="eastAsia" w:eastAsia="仿宋_GB2312" w:cs="仿宋_GB2312"/>
                <w:color w:val="000000"/>
                <w:sz w:val="24"/>
                <w:szCs w:val="24"/>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rPr>
              <w:t> 西</w:t>
            </w:r>
          </w:p>
        </w:tc>
        <w:tc>
          <w:tcPr>
            <w:tcW w:w="2775" w:type="dxa"/>
            <w:gridSpan w:val="2"/>
            <w:vAlign w:val="center"/>
          </w:tcPr>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rPr>
              <w:t> </w:t>
            </w:r>
            <w:r>
              <w:rPr>
                <w:rFonts w:hint="eastAsia" w:eastAsia="仿宋_GB2312" w:cs="仿宋_GB2312"/>
                <w:color w:val="000000"/>
                <w:sz w:val="24"/>
                <w:szCs w:val="24"/>
                <w:lang w:val="en-US" w:eastAsia="zh-CN"/>
              </w:rPr>
              <w:t>58.5</w:t>
            </w:r>
          </w:p>
        </w:tc>
        <w:tc>
          <w:tcPr>
            <w:tcW w:w="2710" w:type="dxa"/>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lang w:val="en-US" w:eastAsia="zh-CN"/>
              </w:rPr>
              <w:t>48.3</w:t>
            </w:r>
            <w:r>
              <w:rPr>
                <w:rFonts w:hint="eastAsia" w:eastAsia="仿宋_GB2312" w:cs="仿宋_GB2312"/>
                <w:color w:val="000000"/>
                <w:sz w:val="24"/>
                <w:szCs w:val="24"/>
              </w:rPr>
              <w:t> </w:t>
            </w:r>
          </w:p>
        </w:tc>
        <w:tc>
          <w:tcPr>
            <w:tcW w:w="3321" w:type="dxa"/>
            <w:gridSpan w:val="4"/>
            <w:vMerge w:val="continue"/>
            <w:vAlign w:val="center"/>
          </w:tcPr>
          <w:p>
            <w:pPr>
              <w:spacing w:line="500" w:lineRule="exact"/>
              <w:jc w:val="center"/>
              <w:rPr>
                <w:rFonts w:hint="eastAsia" w:eastAsia="仿宋_GB2312" w:cs="仿宋_GB2312"/>
                <w:color w:val="000000"/>
                <w:sz w:val="24"/>
                <w:szCs w:val="24"/>
              </w:rPr>
            </w:pPr>
          </w:p>
        </w:tc>
        <w:tc>
          <w:tcPr>
            <w:tcW w:w="2455" w:type="dxa"/>
            <w:vAlign w:val="center"/>
          </w:tcPr>
          <w:p>
            <w:pPr>
              <w:spacing w:line="500" w:lineRule="exact"/>
              <w:jc w:val="center"/>
              <w:rPr>
                <w:rFonts w:hint="eastAsia" w:eastAsia="仿宋_GB2312" w:cs="仿宋_GB2312"/>
                <w:color w:val="000000"/>
                <w:sz w:val="24"/>
                <w:szCs w:val="24"/>
                <w:lang w:val="en-US" w:eastAsia="zh-CN"/>
              </w:rPr>
            </w:pPr>
            <w:r>
              <w:rPr>
                <w:rFonts w:hint="eastAsia" w:eastAsia="仿宋_GB2312" w:cs="仿宋_GB2312"/>
                <w:color w:val="000000"/>
                <w:sz w:val="24"/>
                <w:szCs w:val="24"/>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569" w:type="dxa"/>
            <w:gridSpan w:val="2"/>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rPr>
              <w:t> 北</w:t>
            </w:r>
          </w:p>
        </w:tc>
        <w:tc>
          <w:tcPr>
            <w:tcW w:w="2775" w:type="dxa"/>
            <w:gridSpan w:val="2"/>
            <w:vAlign w:val="center"/>
          </w:tcPr>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rPr>
              <w:t> </w:t>
            </w:r>
            <w:r>
              <w:rPr>
                <w:rFonts w:hint="eastAsia" w:eastAsia="仿宋_GB2312" w:cs="仿宋_GB2312"/>
                <w:color w:val="000000"/>
                <w:sz w:val="24"/>
                <w:szCs w:val="24"/>
                <w:lang w:val="en-US" w:eastAsia="zh-CN"/>
              </w:rPr>
              <w:t>58.1</w:t>
            </w:r>
          </w:p>
        </w:tc>
        <w:tc>
          <w:tcPr>
            <w:tcW w:w="2710" w:type="dxa"/>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lang w:val="en-US" w:eastAsia="zh-CN"/>
              </w:rPr>
              <w:t>48.6</w:t>
            </w:r>
            <w:r>
              <w:rPr>
                <w:rFonts w:hint="eastAsia" w:eastAsia="仿宋_GB2312" w:cs="仿宋_GB2312"/>
                <w:color w:val="000000"/>
                <w:sz w:val="24"/>
                <w:szCs w:val="24"/>
              </w:rPr>
              <w:t> </w:t>
            </w:r>
          </w:p>
        </w:tc>
        <w:tc>
          <w:tcPr>
            <w:tcW w:w="3321" w:type="dxa"/>
            <w:gridSpan w:val="4"/>
            <w:vMerge w:val="continue"/>
            <w:vAlign w:val="center"/>
          </w:tcPr>
          <w:p>
            <w:pPr>
              <w:spacing w:line="500" w:lineRule="exact"/>
              <w:jc w:val="center"/>
              <w:rPr>
                <w:rFonts w:hint="eastAsia" w:eastAsia="仿宋_GB2312" w:cs="仿宋_GB2312"/>
                <w:color w:val="000000"/>
                <w:sz w:val="24"/>
                <w:szCs w:val="24"/>
              </w:rPr>
            </w:pPr>
          </w:p>
        </w:tc>
        <w:tc>
          <w:tcPr>
            <w:tcW w:w="2455" w:type="dxa"/>
            <w:vAlign w:val="center"/>
          </w:tcPr>
          <w:p>
            <w:pPr>
              <w:spacing w:line="500" w:lineRule="exact"/>
              <w:jc w:val="center"/>
              <w:rPr>
                <w:rFonts w:hint="eastAsia" w:eastAsia="仿宋_GB2312" w:cs="仿宋_GB2312"/>
                <w:color w:val="000000"/>
                <w:sz w:val="24"/>
                <w:szCs w:val="24"/>
                <w:lang w:val="en-US" w:eastAsia="zh-CN"/>
              </w:rPr>
            </w:pPr>
            <w:r>
              <w:rPr>
                <w:rFonts w:hint="eastAsia" w:eastAsia="仿宋_GB2312" w:cs="仿宋_GB2312"/>
                <w:color w:val="000000"/>
                <w:sz w:val="24"/>
                <w:szCs w:val="24"/>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tcPr>
          <w:p>
            <w:pPr>
              <w:spacing w:line="500" w:lineRule="exact"/>
              <w:jc w:val="center"/>
              <w:rPr>
                <w:rFonts w:hint="eastAsia" w:eastAsia="仿宋_GB2312" w:cs="仿宋_GB2312"/>
                <w:color w:val="000000"/>
                <w:sz w:val="24"/>
                <w:szCs w:val="24"/>
              </w:rPr>
            </w:pPr>
          </w:p>
        </w:tc>
        <w:tc>
          <w:tcPr>
            <w:tcW w:w="12554" w:type="dxa"/>
            <w:gridSpan w:val="9"/>
          </w:tcPr>
          <w:p>
            <w:pPr>
              <w:spacing w:line="500" w:lineRule="exact"/>
              <w:jc w:val="center"/>
              <w:rPr>
                <w:rFonts w:hint="eastAsia" w:eastAsia="仿宋_GB2312" w:cs="仿宋_GB2312"/>
                <w:color w:val="000000"/>
                <w:sz w:val="24"/>
                <w:szCs w:val="24"/>
              </w:rPr>
            </w:pPr>
          </w:p>
        </w:tc>
      </w:tr>
    </w:tbl>
    <w:p>
      <w:pPr>
        <w:spacing w:line="560" w:lineRule="exact"/>
        <w:ind w:firstLine="320" w:firstLineChars="100"/>
        <w:jc w:val="left"/>
        <w:rPr>
          <w:rFonts w:hint="eastAsia" w:eastAsia="黑体" w:cs="Times New Roman"/>
          <w:sz w:val="32"/>
          <w:szCs w:val="32"/>
        </w:rPr>
      </w:pPr>
    </w:p>
    <w:p>
      <w:pPr>
        <w:spacing w:line="560" w:lineRule="exact"/>
        <w:ind w:firstLine="320" w:firstLineChars="100"/>
        <w:jc w:val="left"/>
        <w:rPr>
          <w:rFonts w:hint="eastAsia" w:eastAsia="黑体" w:cs="Times New Roman"/>
          <w:sz w:val="32"/>
          <w:szCs w:val="32"/>
        </w:rPr>
      </w:pPr>
    </w:p>
    <w:p>
      <w:pPr>
        <w:spacing w:line="560" w:lineRule="exact"/>
        <w:ind w:firstLine="320" w:firstLineChars="100"/>
        <w:jc w:val="left"/>
        <w:rPr>
          <w:rFonts w:hint="eastAsia" w:eastAsia="黑体" w:cs="Times New Roman"/>
          <w:sz w:val="32"/>
          <w:szCs w:val="32"/>
        </w:rPr>
      </w:pPr>
    </w:p>
    <w:p>
      <w:pPr>
        <w:spacing w:line="560" w:lineRule="exact"/>
        <w:ind w:firstLine="320" w:firstLineChars="100"/>
        <w:jc w:val="left"/>
        <w:rPr>
          <w:rFonts w:hint="eastAsia" w:eastAsia="黑体" w:cs="Times New Roman"/>
          <w:sz w:val="32"/>
          <w:szCs w:val="32"/>
        </w:rPr>
      </w:pPr>
    </w:p>
    <w:p>
      <w:pPr>
        <w:spacing w:line="560" w:lineRule="exact"/>
        <w:ind w:firstLine="320" w:firstLineChars="100"/>
        <w:jc w:val="left"/>
        <w:rPr>
          <w:rFonts w:hint="eastAsia" w:eastAsia="黑体" w:cs="Times New Roman"/>
          <w:sz w:val="32"/>
          <w:szCs w:val="32"/>
        </w:rPr>
      </w:pPr>
      <w:r>
        <w:rPr>
          <w:rFonts w:hint="eastAsia" w:eastAsia="黑体" w:cs="黑体"/>
          <w:sz w:val="32"/>
          <w:szCs w:val="32"/>
        </w:rPr>
        <w:t>三、防治污染设施的建设和运行情况</w:t>
      </w: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4282"/>
        <w:gridCol w:w="1559"/>
        <w:gridCol w:w="1701"/>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设施类别</w:t>
            </w:r>
          </w:p>
        </w:tc>
        <w:tc>
          <w:tcPr>
            <w:tcW w:w="4282"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防治污染设施名称</w:t>
            </w:r>
          </w:p>
        </w:tc>
        <w:tc>
          <w:tcPr>
            <w:tcW w:w="1559"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投运时间</w:t>
            </w:r>
          </w:p>
        </w:tc>
        <w:tc>
          <w:tcPr>
            <w:tcW w:w="1701"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处理能力</w:t>
            </w:r>
          </w:p>
        </w:tc>
        <w:tc>
          <w:tcPr>
            <w:tcW w:w="2126"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运行情况</w:t>
            </w:r>
          </w:p>
        </w:tc>
        <w:tc>
          <w:tcPr>
            <w:tcW w:w="1843"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运维单位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水污染物</w:t>
            </w:r>
          </w:p>
        </w:tc>
        <w:tc>
          <w:tcPr>
            <w:tcW w:w="4282"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1701"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1701"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大气污染物</w:t>
            </w:r>
          </w:p>
        </w:tc>
        <w:tc>
          <w:tcPr>
            <w:tcW w:w="4282"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 xml:space="preserve"> </w:t>
            </w:r>
            <w:r>
              <w:rPr>
                <w:rFonts w:hint="eastAsia" w:eastAsia="仿宋_GB2312" w:cs="Times New Roman"/>
                <w:sz w:val="24"/>
                <w:szCs w:val="24"/>
                <w:lang w:eastAsia="zh-CN"/>
              </w:rPr>
              <w:t>高压静电</w:t>
            </w:r>
            <w:r>
              <w:rPr>
                <w:rFonts w:hint="eastAsia" w:eastAsia="仿宋_GB2312" w:cs="Times New Roman"/>
                <w:sz w:val="24"/>
                <w:szCs w:val="24"/>
                <w:lang w:val="en-US" w:eastAsia="zh-CN"/>
              </w:rPr>
              <w:t>+活性炭吸附</w:t>
            </w: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2021-6-11</w:t>
            </w:r>
          </w:p>
        </w:tc>
        <w:tc>
          <w:tcPr>
            <w:tcW w:w="1701"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eastAsia="仿宋_GB2312" w:cs="Times New Roman"/>
                <w:sz w:val="24"/>
                <w:szCs w:val="24"/>
                <w:lang w:eastAsia="zh-CN"/>
              </w:rPr>
            </w:pPr>
            <w:r>
              <w:rPr>
                <w:rFonts w:hint="eastAsia" w:eastAsia="仿宋_GB2312" w:cs="Times New Roman"/>
                <w:sz w:val="24"/>
                <w:szCs w:val="24"/>
                <w:lang w:eastAsia="zh-CN"/>
              </w:rPr>
              <w:t>正常</w:t>
            </w:r>
          </w:p>
        </w:tc>
        <w:tc>
          <w:tcPr>
            <w:tcW w:w="1843" w:type="dxa"/>
            <w:vAlign w:val="center"/>
          </w:tcPr>
          <w:p>
            <w:pPr>
              <w:ind w:left="-105" w:leftChars="-50" w:right="-105" w:rightChars="-50"/>
              <w:jc w:val="center"/>
              <w:rPr>
                <w:rFonts w:hint="eastAsia" w:eastAsia="仿宋_GB2312" w:cs="Times New Roman"/>
                <w:sz w:val="21"/>
                <w:szCs w:val="21"/>
                <w:lang w:eastAsia="zh-CN"/>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cs="Times New Roman"/>
                <w:sz w:val="24"/>
                <w:szCs w:val="24"/>
                <w:lang w:eastAsia="zh-CN"/>
              </w:rPr>
            </w:pPr>
            <w:r>
              <w:rPr>
                <w:rFonts w:hint="eastAsia" w:eastAsia="仿宋_GB2312" w:cs="Times New Roman"/>
                <w:sz w:val="24"/>
                <w:szCs w:val="24"/>
                <w:lang w:val="en-US" w:eastAsia="zh-CN"/>
              </w:rPr>
              <w:t xml:space="preserve"> </w:t>
            </w:r>
            <w:r>
              <w:rPr>
                <w:rFonts w:hint="eastAsia" w:eastAsia="仿宋_GB2312" w:cs="Times New Roman"/>
                <w:sz w:val="24"/>
                <w:szCs w:val="24"/>
                <w:lang w:eastAsia="zh-CN"/>
              </w:rPr>
              <w:t>高压静电</w:t>
            </w:r>
            <w:r>
              <w:rPr>
                <w:rFonts w:hint="eastAsia" w:eastAsia="仿宋_GB2312" w:cs="Times New Roman"/>
                <w:sz w:val="24"/>
                <w:szCs w:val="24"/>
                <w:lang w:val="en-US" w:eastAsia="zh-CN"/>
              </w:rPr>
              <w:t>+活性炭吸附</w:t>
            </w: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2021-1-1</w:t>
            </w:r>
          </w:p>
        </w:tc>
        <w:tc>
          <w:tcPr>
            <w:tcW w:w="1701"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eastAsia="仿宋_GB2312" w:cs="Times New Roman"/>
                <w:sz w:val="24"/>
                <w:szCs w:val="24"/>
                <w:lang w:eastAsia="zh-CN"/>
              </w:rPr>
            </w:pPr>
            <w:r>
              <w:rPr>
                <w:rFonts w:hint="eastAsia" w:eastAsia="仿宋_GB2312" w:cs="Times New Roman"/>
                <w:sz w:val="24"/>
                <w:szCs w:val="24"/>
                <w:lang w:eastAsia="zh-CN"/>
              </w:rPr>
              <w:t>正常</w:t>
            </w:r>
          </w:p>
        </w:tc>
        <w:tc>
          <w:tcPr>
            <w:tcW w:w="1843" w:type="dxa"/>
            <w:vAlign w:val="center"/>
          </w:tcPr>
          <w:p>
            <w:pPr>
              <w:spacing w:line="560" w:lineRule="exact"/>
              <w:ind w:left="-105" w:leftChars="-50" w:right="-105" w:rightChars="-50"/>
              <w:jc w:val="center"/>
              <w:rPr>
                <w:rFonts w:hint="eastAsia" w:eastAsia="仿宋_GB2312" w:cs="Times New Roman"/>
                <w:sz w:val="22"/>
                <w:szCs w:val="22"/>
                <w:lang w:eastAsia="zh-CN"/>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lang w:eastAsia="zh-CN"/>
              </w:rPr>
            </w:pPr>
            <w:r>
              <w:rPr>
                <w:rFonts w:hint="eastAsia" w:eastAsia="仿宋_GB2312"/>
                <w:sz w:val="24"/>
                <w:szCs w:val="24"/>
                <w:lang w:eastAsia="zh-CN"/>
              </w:rPr>
              <w:t>锅炉低氮改造</w:t>
            </w: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2019-10-31</w:t>
            </w:r>
          </w:p>
        </w:tc>
        <w:tc>
          <w:tcPr>
            <w:tcW w:w="1701"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eastAsia="zh-CN"/>
              </w:rPr>
              <w:t>正常</w:t>
            </w:r>
          </w:p>
        </w:tc>
        <w:tc>
          <w:tcPr>
            <w:tcW w:w="1843" w:type="dxa"/>
            <w:vAlign w:val="center"/>
          </w:tcPr>
          <w:p>
            <w:pPr>
              <w:ind w:left="-105" w:leftChars="-50" w:right="-105" w:rightChars="-50"/>
              <w:jc w:val="center"/>
              <w:rPr>
                <w:rFonts w:hint="eastAsia" w:ascii="Calibri" w:hAnsi="Calibri" w:eastAsia="仿宋_GB2312" w:cs="Times New Roman"/>
                <w:kern w:val="2"/>
                <w:sz w:val="21"/>
                <w:szCs w:val="21"/>
                <w:lang w:val="en-US" w:eastAsia="zh-CN" w:bidi="ar-SA"/>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lang w:eastAsia="zh-CN"/>
              </w:rPr>
            </w:pPr>
            <w:r>
              <w:rPr>
                <w:rFonts w:hint="eastAsia" w:eastAsia="仿宋_GB2312"/>
                <w:sz w:val="24"/>
                <w:szCs w:val="24"/>
                <w:lang w:eastAsia="zh-CN"/>
              </w:rPr>
              <w:t>锅炉低氮改造</w:t>
            </w:r>
          </w:p>
        </w:tc>
        <w:tc>
          <w:tcPr>
            <w:tcW w:w="1559" w:type="dxa"/>
            <w:vAlign w:val="center"/>
          </w:tcPr>
          <w:p>
            <w:pPr>
              <w:spacing w:line="560" w:lineRule="exact"/>
              <w:ind w:left="-105" w:leftChars="-50" w:right="-105" w:rightChars="-50"/>
              <w:jc w:val="center"/>
              <w:rPr>
                <w:rFonts w:hint="eastAsia" w:eastAsia="仿宋_GB2312" w:cs="Times New Roman"/>
                <w:sz w:val="24"/>
                <w:szCs w:val="24"/>
                <w:lang w:val="en-US" w:eastAsia="zh-CN"/>
              </w:rPr>
            </w:pPr>
            <w:r>
              <w:rPr>
                <w:rFonts w:hint="eastAsia" w:eastAsia="仿宋_GB2312" w:cs="Times New Roman"/>
                <w:sz w:val="24"/>
                <w:szCs w:val="24"/>
                <w:lang w:val="en-US" w:eastAsia="zh-CN"/>
              </w:rPr>
              <w:t>2021-1-1</w:t>
            </w:r>
          </w:p>
        </w:tc>
        <w:tc>
          <w:tcPr>
            <w:tcW w:w="1701"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eastAsia="zh-CN"/>
              </w:rPr>
              <w:t>正常</w:t>
            </w:r>
          </w:p>
        </w:tc>
        <w:tc>
          <w:tcPr>
            <w:tcW w:w="1843" w:type="dxa"/>
            <w:vAlign w:val="center"/>
          </w:tcPr>
          <w:p>
            <w:pPr>
              <w:spacing w:line="560" w:lineRule="exact"/>
              <w:ind w:left="-105" w:leftChars="-50" w:right="-105" w:rightChars="-50"/>
              <w:jc w:val="center"/>
              <w:rPr>
                <w:rFonts w:hint="eastAsia" w:ascii="Calibri" w:hAnsi="Calibri" w:eastAsia="仿宋_GB2312" w:cs="Times New Roman"/>
                <w:kern w:val="2"/>
                <w:sz w:val="22"/>
                <w:szCs w:val="22"/>
                <w:lang w:val="en-US" w:eastAsia="zh-CN" w:bidi="ar-SA"/>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highlight w:val="none"/>
                <w:lang w:eastAsia="zh-CN"/>
              </w:rPr>
            </w:pPr>
            <w:r>
              <w:rPr>
                <w:rFonts w:hint="eastAsia" w:eastAsia="仿宋_GB2312"/>
                <w:sz w:val="24"/>
                <w:szCs w:val="24"/>
                <w:highlight w:val="none"/>
                <w:lang w:eastAsia="zh-CN"/>
              </w:rPr>
              <w:t>布袋除尘器</w:t>
            </w: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2016-8-1</w:t>
            </w:r>
          </w:p>
        </w:tc>
        <w:tc>
          <w:tcPr>
            <w:tcW w:w="1701"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eastAsia="zh-CN"/>
              </w:rPr>
              <w:t>正常</w:t>
            </w:r>
          </w:p>
        </w:tc>
        <w:tc>
          <w:tcPr>
            <w:tcW w:w="1843" w:type="dxa"/>
            <w:vAlign w:val="center"/>
          </w:tcPr>
          <w:p>
            <w:pPr>
              <w:spacing w:line="560" w:lineRule="exact"/>
              <w:ind w:left="-105" w:leftChars="-50" w:right="-105" w:rightChars="-50"/>
              <w:jc w:val="center"/>
              <w:rPr>
                <w:rFonts w:hint="eastAsia" w:ascii="Calibri" w:hAnsi="Calibri" w:eastAsia="仿宋_GB2312" w:cs="Times New Roman"/>
                <w:kern w:val="2"/>
                <w:sz w:val="22"/>
                <w:szCs w:val="22"/>
                <w:lang w:val="en-US" w:eastAsia="zh-CN" w:bidi="ar-SA"/>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highlight w:val="none"/>
                <w:lang w:eastAsia="zh-CN"/>
              </w:rPr>
            </w:pPr>
            <w:r>
              <w:rPr>
                <w:rFonts w:hint="eastAsia" w:eastAsia="仿宋_GB2312"/>
                <w:sz w:val="24"/>
                <w:szCs w:val="24"/>
                <w:highlight w:val="none"/>
                <w:lang w:val="en-US" w:eastAsia="zh-CN"/>
              </w:rPr>
              <w:t>UV</w:t>
            </w:r>
            <w:r>
              <w:rPr>
                <w:rFonts w:hint="eastAsia" w:eastAsia="仿宋_GB2312"/>
                <w:sz w:val="24"/>
                <w:szCs w:val="24"/>
                <w:highlight w:val="none"/>
                <w:lang w:eastAsia="zh-CN"/>
              </w:rPr>
              <w:t>光氧</w:t>
            </w: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2019-9-14</w:t>
            </w:r>
          </w:p>
        </w:tc>
        <w:tc>
          <w:tcPr>
            <w:tcW w:w="1701"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eastAsia="zh-CN"/>
              </w:rPr>
              <w:t>正常</w:t>
            </w:r>
          </w:p>
        </w:tc>
        <w:tc>
          <w:tcPr>
            <w:tcW w:w="1843" w:type="dxa"/>
            <w:vAlign w:val="center"/>
          </w:tcPr>
          <w:p>
            <w:pPr>
              <w:spacing w:line="560" w:lineRule="exact"/>
              <w:ind w:left="-105" w:leftChars="-50" w:right="-105" w:rightChars="-50"/>
              <w:jc w:val="center"/>
              <w:rPr>
                <w:rFonts w:hint="eastAsia" w:ascii="Calibri" w:hAnsi="Calibri" w:eastAsia="仿宋_GB2312" w:cs="Times New Roman"/>
                <w:kern w:val="2"/>
                <w:sz w:val="22"/>
                <w:szCs w:val="22"/>
                <w:lang w:val="en-US" w:eastAsia="zh-CN" w:bidi="ar-SA"/>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lang w:eastAsia="zh-CN"/>
              </w:rPr>
            </w:pPr>
          </w:p>
        </w:tc>
        <w:tc>
          <w:tcPr>
            <w:tcW w:w="1559" w:type="dxa"/>
            <w:vAlign w:val="center"/>
          </w:tcPr>
          <w:p>
            <w:pPr>
              <w:spacing w:line="560" w:lineRule="exact"/>
              <w:ind w:left="-105" w:leftChars="-50" w:right="-105" w:rightChars="-50"/>
              <w:jc w:val="center"/>
              <w:rPr>
                <w:rFonts w:hint="eastAsia" w:eastAsia="仿宋_GB2312"/>
                <w:sz w:val="24"/>
                <w:szCs w:val="24"/>
              </w:rPr>
            </w:pPr>
          </w:p>
        </w:tc>
        <w:tc>
          <w:tcPr>
            <w:tcW w:w="1701" w:type="dxa"/>
            <w:vAlign w:val="center"/>
          </w:tcPr>
          <w:p>
            <w:pPr>
              <w:spacing w:line="560" w:lineRule="exact"/>
              <w:ind w:left="-105" w:leftChars="-50" w:right="-105" w:rightChars="-50"/>
              <w:jc w:val="center"/>
              <w:rPr>
                <w:rFonts w:hint="eastAsia" w:eastAsia="仿宋_GB2312"/>
                <w:sz w:val="24"/>
                <w:szCs w:val="24"/>
              </w:rPr>
            </w:pPr>
          </w:p>
        </w:tc>
        <w:tc>
          <w:tcPr>
            <w:tcW w:w="2126" w:type="dxa"/>
            <w:vAlign w:val="center"/>
          </w:tcPr>
          <w:p>
            <w:pPr>
              <w:spacing w:line="560" w:lineRule="exact"/>
              <w:ind w:left="-105" w:leftChars="-50" w:right="-105" w:rightChars="-50"/>
              <w:jc w:val="center"/>
              <w:rPr>
                <w:rFonts w:hint="eastAsia" w:eastAsia="仿宋_GB2312"/>
                <w:sz w:val="24"/>
                <w:szCs w:val="24"/>
              </w:rPr>
            </w:pPr>
          </w:p>
        </w:tc>
        <w:tc>
          <w:tcPr>
            <w:tcW w:w="1843" w:type="dxa"/>
            <w:vAlign w:val="center"/>
          </w:tcPr>
          <w:p>
            <w:pPr>
              <w:spacing w:line="560" w:lineRule="exact"/>
              <w:ind w:left="-105" w:leftChars="-50" w:right="-105" w:rightChars="-50"/>
              <w:jc w:val="center"/>
              <w:rPr>
                <w:rFonts w:hint="eastAsia"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固体废物</w:t>
            </w: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rPr>
            </w:pPr>
            <w:r>
              <w:rPr>
                <w:rFonts w:eastAsia="仿宋_GB2312"/>
                <w:sz w:val="24"/>
                <w:szCs w:val="24"/>
              </w:rPr>
              <w:t>……</w:t>
            </w:r>
          </w:p>
        </w:tc>
        <w:tc>
          <w:tcPr>
            <w:tcW w:w="1559" w:type="dxa"/>
            <w:vAlign w:val="center"/>
          </w:tcPr>
          <w:p>
            <w:pPr>
              <w:spacing w:line="560" w:lineRule="exact"/>
              <w:ind w:left="-105" w:leftChars="-50" w:right="-105" w:rightChars="-50"/>
              <w:jc w:val="center"/>
              <w:rPr>
                <w:rFonts w:hint="eastAsia" w:eastAsia="仿宋_GB2312"/>
                <w:sz w:val="24"/>
                <w:szCs w:val="24"/>
              </w:rPr>
            </w:pPr>
          </w:p>
        </w:tc>
        <w:tc>
          <w:tcPr>
            <w:tcW w:w="1701" w:type="dxa"/>
            <w:vAlign w:val="center"/>
          </w:tcPr>
          <w:p>
            <w:pPr>
              <w:spacing w:line="560" w:lineRule="exact"/>
              <w:ind w:left="-105" w:leftChars="-50" w:right="-105" w:rightChars="-50"/>
              <w:jc w:val="center"/>
              <w:rPr>
                <w:rFonts w:hint="eastAsia" w:eastAsia="仿宋_GB2312"/>
                <w:sz w:val="24"/>
                <w:szCs w:val="24"/>
              </w:rPr>
            </w:pPr>
          </w:p>
        </w:tc>
        <w:tc>
          <w:tcPr>
            <w:tcW w:w="2126" w:type="dxa"/>
            <w:vAlign w:val="center"/>
          </w:tcPr>
          <w:p>
            <w:pPr>
              <w:spacing w:line="560" w:lineRule="exact"/>
              <w:ind w:left="-105" w:leftChars="-50" w:right="-105" w:rightChars="-50"/>
              <w:jc w:val="center"/>
              <w:rPr>
                <w:rFonts w:hint="eastAsia" w:eastAsia="仿宋_GB2312"/>
                <w:sz w:val="24"/>
                <w:szCs w:val="24"/>
              </w:rPr>
            </w:pPr>
          </w:p>
        </w:tc>
        <w:tc>
          <w:tcPr>
            <w:tcW w:w="1843" w:type="dxa"/>
            <w:vAlign w:val="center"/>
          </w:tcPr>
          <w:p>
            <w:pPr>
              <w:spacing w:line="560" w:lineRule="exact"/>
              <w:ind w:left="-105" w:leftChars="-50" w:right="-105" w:rightChars="-50"/>
              <w:jc w:val="center"/>
              <w:rPr>
                <w:rFonts w:hint="eastAsia"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噪声</w:t>
            </w: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rPr>
            </w:pPr>
            <w:r>
              <w:rPr>
                <w:rFonts w:eastAsia="仿宋_GB2312"/>
                <w:sz w:val="24"/>
                <w:szCs w:val="24"/>
              </w:rPr>
              <w:t>……</w:t>
            </w:r>
          </w:p>
        </w:tc>
        <w:tc>
          <w:tcPr>
            <w:tcW w:w="1559" w:type="dxa"/>
            <w:vAlign w:val="center"/>
          </w:tcPr>
          <w:p>
            <w:pPr>
              <w:spacing w:line="560" w:lineRule="exact"/>
              <w:ind w:left="-105" w:leftChars="-50" w:right="-105" w:rightChars="-50"/>
              <w:jc w:val="center"/>
              <w:rPr>
                <w:rFonts w:hint="eastAsia" w:eastAsia="仿宋_GB2312"/>
                <w:sz w:val="24"/>
                <w:szCs w:val="24"/>
              </w:rPr>
            </w:pPr>
          </w:p>
        </w:tc>
        <w:tc>
          <w:tcPr>
            <w:tcW w:w="1701" w:type="dxa"/>
            <w:vAlign w:val="center"/>
          </w:tcPr>
          <w:p>
            <w:pPr>
              <w:spacing w:line="560" w:lineRule="exact"/>
              <w:ind w:left="-105" w:leftChars="-50" w:right="-105" w:rightChars="-50"/>
              <w:jc w:val="center"/>
              <w:rPr>
                <w:rFonts w:hint="eastAsia" w:eastAsia="仿宋_GB2312"/>
                <w:sz w:val="24"/>
                <w:szCs w:val="24"/>
              </w:rPr>
            </w:pPr>
          </w:p>
        </w:tc>
        <w:tc>
          <w:tcPr>
            <w:tcW w:w="2126" w:type="dxa"/>
            <w:vAlign w:val="center"/>
          </w:tcPr>
          <w:p>
            <w:pPr>
              <w:spacing w:line="560" w:lineRule="exact"/>
              <w:ind w:left="-105" w:leftChars="-50" w:right="-105" w:rightChars="-50"/>
              <w:jc w:val="center"/>
              <w:rPr>
                <w:rFonts w:hint="eastAsia" w:eastAsia="仿宋_GB2312"/>
                <w:sz w:val="24"/>
                <w:szCs w:val="24"/>
              </w:rPr>
            </w:pPr>
          </w:p>
        </w:tc>
        <w:tc>
          <w:tcPr>
            <w:tcW w:w="1843" w:type="dxa"/>
            <w:vAlign w:val="center"/>
          </w:tcPr>
          <w:p>
            <w:pPr>
              <w:spacing w:line="560" w:lineRule="exact"/>
              <w:ind w:left="-105" w:leftChars="-50" w:right="-105" w:rightChars="-50"/>
              <w:jc w:val="center"/>
              <w:rPr>
                <w:rFonts w:hint="eastAsia"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其他</w:t>
            </w: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bl>
    <w:p>
      <w:pPr>
        <w:spacing w:line="560" w:lineRule="exact"/>
        <w:ind w:firstLine="204" w:firstLineChars="64"/>
        <w:rPr>
          <w:rFonts w:hint="eastAsia" w:eastAsia="黑体" w:cs="Times New Roman"/>
          <w:sz w:val="32"/>
          <w:szCs w:val="32"/>
        </w:rPr>
      </w:pPr>
      <w:r>
        <w:rPr>
          <w:rFonts w:hint="eastAsia" w:eastAsia="黑体" w:cs="黑体"/>
          <w:sz w:val="32"/>
          <w:szCs w:val="32"/>
        </w:rPr>
        <w:t>四、建设项目环境影响评价及其他环境保护行政许可情况</w:t>
      </w:r>
    </w:p>
    <w:tbl>
      <w:tblPr>
        <w:tblStyle w:val="26"/>
        <w:tblW w:w="13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3"/>
        <w:gridCol w:w="2366"/>
        <w:gridCol w:w="1477"/>
        <w:gridCol w:w="1689"/>
        <w:gridCol w:w="1741"/>
        <w:gridCol w:w="1540"/>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420" w:type="dxa"/>
            <w:gridSpan w:val="7"/>
            <w:vAlign w:val="center"/>
          </w:tcPr>
          <w:p>
            <w:pPr>
              <w:spacing w:line="560" w:lineRule="exact"/>
              <w:jc w:val="center"/>
              <w:rPr>
                <w:rFonts w:hint="eastAsia" w:eastAsia="仿宋_GB2312" w:cs="Times New Roman"/>
                <w:b/>
                <w:bCs/>
                <w:sz w:val="28"/>
                <w:szCs w:val="28"/>
              </w:rPr>
            </w:pPr>
            <w:r>
              <w:rPr>
                <w:rFonts w:eastAsia="仿宋_GB2312" w:cs="Times New Roman"/>
                <w:sz w:val="32"/>
                <w:szCs w:val="32"/>
              </w:rPr>
              <w:br w:type="page"/>
            </w:r>
            <w:r>
              <w:rPr>
                <w:rFonts w:hint="eastAsia" w:eastAsia="仿宋_GB2312" w:cs="仿宋_GB2312"/>
                <w:b/>
                <w:bCs/>
                <w:sz w:val="28"/>
                <w:szCs w:val="28"/>
              </w:rPr>
              <w:t>建设项目环境影响评价及其他环境保护行政许可情况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033"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建设项目名称</w:t>
            </w:r>
          </w:p>
        </w:tc>
        <w:tc>
          <w:tcPr>
            <w:tcW w:w="2366"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环评批复单位</w:t>
            </w:r>
          </w:p>
        </w:tc>
        <w:tc>
          <w:tcPr>
            <w:tcW w:w="1477"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环评批复时间</w:t>
            </w:r>
          </w:p>
        </w:tc>
        <w:tc>
          <w:tcPr>
            <w:tcW w:w="1689"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环评批复文号</w:t>
            </w:r>
          </w:p>
        </w:tc>
        <w:tc>
          <w:tcPr>
            <w:tcW w:w="1741"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竣工验收单位</w:t>
            </w:r>
          </w:p>
        </w:tc>
        <w:tc>
          <w:tcPr>
            <w:tcW w:w="1540"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竣工验收时间</w:t>
            </w:r>
          </w:p>
        </w:tc>
        <w:tc>
          <w:tcPr>
            <w:tcW w:w="1574"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竣工验收文号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033"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人造革生产项目</w:t>
            </w:r>
          </w:p>
        </w:tc>
        <w:tc>
          <w:tcPr>
            <w:tcW w:w="2366" w:type="dxa"/>
            <w:vAlign w:val="center"/>
          </w:tcPr>
          <w:p>
            <w:pPr>
              <w:spacing w:line="56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高碑店市环境保护局</w:t>
            </w:r>
          </w:p>
        </w:tc>
        <w:tc>
          <w:tcPr>
            <w:tcW w:w="1477"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2007.8.10</w:t>
            </w:r>
          </w:p>
        </w:tc>
        <w:tc>
          <w:tcPr>
            <w:tcW w:w="1689" w:type="dxa"/>
            <w:vAlign w:val="center"/>
          </w:tcPr>
          <w:p>
            <w:pPr>
              <w:spacing w:line="56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w:t>
            </w:r>
          </w:p>
        </w:tc>
        <w:tc>
          <w:tcPr>
            <w:tcW w:w="1741" w:type="dxa"/>
            <w:vAlign w:val="center"/>
          </w:tcPr>
          <w:p>
            <w:pPr>
              <w:spacing w:line="56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保定市环境保护局白沟新城分局</w:t>
            </w:r>
          </w:p>
        </w:tc>
        <w:tc>
          <w:tcPr>
            <w:tcW w:w="1540"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2010.1.8</w:t>
            </w:r>
          </w:p>
        </w:tc>
        <w:tc>
          <w:tcPr>
            <w:tcW w:w="1574"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033" w:type="dxa"/>
            <w:vAlign w:val="center"/>
          </w:tcPr>
          <w:p>
            <w:pPr>
              <w:spacing w:line="56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val="en-US" w:eastAsia="zh-CN"/>
              </w:rPr>
              <w:t>人造革生产项</w:t>
            </w:r>
          </w:p>
        </w:tc>
        <w:tc>
          <w:tcPr>
            <w:tcW w:w="2366" w:type="dxa"/>
            <w:vAlign w:val="center"/>
          </w:tcPr>
          <w:p>
            <w:pPr>
              <w:spacing w:line="56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保定市环境保护局白白沟新城分局</w:t>
            </w:r>
          </w:p>
        </w:tc>
        <w:tc>
          <w:tcPr>
            <w:tcW w:w="1477"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2013.11.23</w:t>
            </w:r>
          </w:p>
        </w:tc>
        <w:tc>
          <w:tcPr>
            <w:tcW w:w="1689"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w:t>
            </w:r>
          </w:p>
        </w:tc>
        <w:tc>
          <w:tcPr>
            <w:tcW w:w="1741" w:type="dxa"/>
            <w:vAlign w:val="center"/>
          </w:tcPr>
          <w:p>
            <w:pPr>
              <w:spacing w:line="56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保定市环境保护白沟新城分局</w:t>
            </w:r>
          </w:p>
        </w:tc>
        <w:tc>
          <w:tcPr>
            <w:tcW w:w="1540"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2013.9.20</w:t>
            </w:r>
          </w:p>
        </w:tc>
        <w:tc>
          <w:tcPr>
            <w:tcW w:w="1574" w:type="dxa"/>
            <w:vAlign w:val="center"/>
          </w:tcPr>
          <w:p>
            <w:pPr>
              <w:spacing w:line="56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保白环表验【</w:t>
            </w:r>
            <w:r>
              <w:rPr>
                <w:rFonts w:hint="eastAsia" w:eastAsia="仿宋_GB2312" w:cs="仿宋_GB2312"/>
                <w:sz w:val="24"/>
                <w:szCs w:val="24"/>
                <w:lang w:val="en-US" w:eastAsia="zh-CN"/>
              </w:rPr>
              <w:t>2013</w:t>
            </w:r>
            <w:r>
              <w:rPr>
                <w:rFonts w:hint="eastAsia" w:eastAsia="仿宋_GB2312" w:cs="仿宋_GB2312"/>
                <w:sz w:val="24"/>
                <w:szCs w:val="24"/>
                <w:lang w:eastAsia="zh-CN"/>
              </w:rPr>
              <w:t>】</w:t>
            </w:r>
            <w:r>
              <w:rPr>
                <w:rFonts w:hint="eastAsia" w:eastAsia="仿宋_GB2312" w:cs="仿宋_GB2312"/>
                <w:sz w:val="24"/>
                <w:szCs w:val="24"/>
                <w:lang w:val="en-US" w:eastAsia="zh-CN"/>
              </w:rPr>
              <w:t>034号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033"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其他环境保护行政许可情况</w:t>
            </w:r>
          </w:p>
        </w:tc>
        <w:tc>
          <w:tcPr>
            <w:tcW w:w="10387" w:type="dxa"/>
            <w:gridSpan w:val="6"/>
            <w:vAlign w:val="center"/>
          </w:tcPr>
          <w:p>
            <w:pPr>
              <w:spacing w:line="560" w:lineRule="exact"/>
              <w:ind w:left="-105" w:leftChars="-50" w:right="-105" w:rightChars="-50"/>
              <w:jc w:val="center"/>
              <w:rPr>
                <w:rFonts w:hint="eastAsia" w:eastAsia="仿宋_GB2312" w:cs="Times New Roman"/>
                <w:sz w:val="24"/>
                <w:szCs w:val="24"/>
              </w:rPr>
            </w:pPr>
          </w:p>
        </w:tc>
      </w:tr>
    </w:tbl>
    <w:p>
      <w:pPr>
        <w:spacing w:line="560" w:lineRule="exact"/>
        <w:rPr>
          <w:rFonts w:hint="eastAsia" w:eastAsia="黑体"/>
          <w:sz w:val="32"/>
          <w:szCs w:val="32"/>
        </w:rPr>
      </w:pPr>
    </w:p>
    <w:p>
      <w:pPr>
        <w:spacing w:line="560" w:lineRule="exact"/>
        <w:rPr>
          <w:rFonts w:eastAsia="黑体"/>
          <w:sz w:val="32"/>
          <w:szCs w:val="32"/>
        </w:rPr>
      </w:pPr>
      <w:r>
        <w:rPr>
          <w:rFonts w:hint="eastAsia" w:eastAsia="黑体"/>
          <w:sz w:val="32"/>
          <w:szCs w:val="32"/>
        </w:rPr>
        <w:t>五、突发环境事件应急预案</w:t>
      </w:r>
    </w:p>
    <w:tbl>
      <w:tblPr>
        <w:tblStyle w:val="26"/>
        <w:tblW w:w="13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3453"/>
        <w:gridCol w:w="2449"/>
        <w:gridCol w:w="6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54" w:type="dxa"/>
            <w:gridSpan w:val="4"/>
            <w:vAlign w:val="center"/>
          </w:tcPr>
          <w:p>
            <w:pPr>
              <w:spacing w:line="560" w:lineRule="exact"/>
              <w:jc w:val="center"/>
              <w:rPr>
                <w:rFonts w:eastAsia="仿宋_GB2312"/>
                <w:b/>
                <w:sz w:val="28"/>
                <w:szCs w:val="28"/>
                <w:highlight w:val="none"/>
              </w:rPr>
            </w:pPr>
            <w:r>
              <w:rPr>
                <w:rFonts w:hint="eastAsia" w:eastAsia="仿宋_GB2312"/>
                <w:b/>
                <w:sz w:val="28"/>
                <w:szCs w:val="28"/>
                <w:highlight w:val="none"/>
              </w:rPr>
              <w:t>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28" w:type="dxa"/>
            <w:vAlign w:val="center"/>
          </w:tcPr>
          <w:p>
            <w:pPr>
              <w:spacing w:line="560" w:lineRule="exact"/>
              <w:ind w:left="-105" w:leftChars="-50" w:right="-105" w:rightChars="-50"/>
              <w:jc w:val="center"/>
              <w:rPr>
                <w:rFonts w:eastAsia="仿宋_GB2312"/>
                <w:sz w:val="24"/>
                <w:highlight w:val="none"/>
              </w:rPr>
            </w:pPr>
            <w:r>
              <w:rPr>
                <w:rFonts w:hint="eastAsia" w:eastAsia="仿宋_GB2312"/>
                <w:sz w:val="24"/>
                <w:highlight w:val="none"/>
              </w:rPr>
              <w:t>备案部门</w:t>
            </w:r>
          </w:p>
        </w:tc>
        <w:tc>
          <w:tcPr>
            <w:tcW w:w="3453" w:type="dxa"/>
            <w:vAlign w:val="center"/>
          </w:tcPr>
          <w:p>
            <w:pPr>
              <w:jc w:val="left"/>
              <w:rPr>
                <w:rFonts w:hint="eastAsia" w:ascii="宋体" w:hAnsi="宋体" w:eastAsia="宋体" w:cs="宋体"/>
                <w:b/>
                <w:bCs/>
                <w:sz w:val="22"/>
                <w:szCs w:val="28"/>
                <w:highlight w:val="none"/>
                <w:lang w:val="en-US" w:eastAsia="zh-CN"/>
              </w:rPr>
            </w:pPr>
            <w:r>
              <w:rPr>
                <w:rFonts w:hint="eastAsia" w:ascii="宋体" w:hAnsi="宋体" w:eastAsia="宋体" w:cs="宋体"/>
                <w:b/>
                <w:bCs/>
                <w:sz w:val="22"/>
                <w:szCs w:val="28"/>
                <w:highlight w:val="none"/>
                <w:lang w:val="en-US" w:eastAsia="zh-CN"/>
              </w:rPr>
              <w:t>保定市生态环境局白沟新城分局：</w:t>
            </w:r>
          </w:p>
          <w:p>
            <w:pPr>
              <w:spacing w:line="560" w:lineRule="exact"/>
              <w:ind w:left="-105" w:leftChars="-50" w:right="-105" w:rightChars="-50"/>
              <w:jc w:val="center"/>
              <w:rPr>
                <w:rFonts w:eastAsia="仿宋_GB2312"/>
                <w:sz w:val="24"/>
                <w:highlight w:val="none"/>
              </w:rPr>
            </w:pPr>
          </w:p>
        </w:tc>
        <w:tc>
          <w:tcPr>
            <w:tcW w:w="2449" w:type="dxa"/>
            <w:vAlign w:val="center"/>
          </w:tcPr>
          <w:p>
            <w:pPr>
              <w:spacing w:line="560" w:lineRule="exact"/>
              <w:ind w:left="-105" w:leftChars="-50" w:right="-105" w:rightChars="-50"/>
              <w:jc w:val="center"/>
              <w:rPr>
                <w:rFonts w:eastAsia="仿宋_GB2312"/>
                <w:sz w:val="24"/>
                <w:highlight w:val="none"/>
              </w:rPr>
            </w:pPr>
            <w:r>
              <w:rPr>
                <w:rFonts w:hint="eastAsia" w:eastAsia="仿宋_GB2312"/>
                <w:sz w:val="24"/>
                <w:highlight w:val="none"/>
              </w:rPr>
              <w:t>备案时间</w:t>
            </w:r>
          </w:p>
        </w:tc>
        <w:tc>
          <w:tcPr>
            <w:tcW w:w="6124" w:type="dxa"/>
            <w:vAlign w:val="center"/>
          </w:tcPr>
          <w:p>
            <w:pPr>
              <w:spacing w:line="560" w:lineRule="exact"/>
              <w:ind w:left="-105" w:leftChars="-50" w:right="-105" w:rightChars="-50"/>
              <w:jc w:val="center"/>
              <w:rPr>
                <w:rFonts w:hint="default" w:eastAsia="仿宋_GB2312"/>
                <w:sz w:val="24"/>
                <w:highlight w:val="none"/>
                <w:lang w:val="en-US" w:eastAsia="zh-CN"/>
              </w:rPr>
            </w:pPr>
            <w:r>
              <w:rPr>
                <w:rFonts w:hint="eastAsia" w:eastAsia="仿宋_GB2312"/>
                <w:sz w:val="24"/>
                <w:highlight w:val="none"/>
                <w:lang w:val="en-US" w:eastAsia="zh-CN"/>
              </w:rPr>
              <w:t>2021-5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1" w:hRule="atLeast"/>
          <w:jc w:val="center"/>
        </w:trPr>
        <w:tc>
          <w:tcPr>
            <w:tcW w:w="1328" w:type="dxa"/>
            <w:vAlign w:val="center"/>
          </w:tcPr>
          <w:p>
            <w:pPr>
              <w:spacing w:line="560" w:lineRule="exact"/>
              <w:ind w:left="-105" w:leftChars="-50" w:right="-105" w:rightChars="-50"/>
              <w:jc w:val="center"/>
              <w:rPr>
                <w:rFonts w:eastAsia="仿宋_GB2312"/>
                <w:sz w:val="24"/>
                <w:highlight w:val="yellow"/>
              </w:rPr>
            </w:pPr>
            <w:r>
              <w:rPr>
                <w:rFonts w:hint="eastAsia" w:eastAsia="仿宋_GB2312"/>
                <w:sz w:val="24"/>
                <w:highlight w:val="none"/>
              </w:rPr>
              <w:t>主要内容</w:t>
            </w:r>
          </w:p>
        </w:tc>
        <w:tc>
          <w:tcPr>
            <w:tcW w:w="12026" w:type="dxa"/>
            <w:gridSpan w:val="3"/>
            <w:vAlign w:val="center"/>
          </w:tcPr>
          <w:p>
            <w:pPr>
              <w:spacing w:line="240" w:lineRule="auto"/>
              <w:ind w:right="-105" w:rightChars="-50"/>
              <w:rPr>
                <w:rFonts w:hint="eastAsia" w:eastAsia="仿宋_GB2312"/>
                <w:sz w:val="24"/>
                <w:highlight w:val="yellow"/>
                <w:lang w:eastAsia="zh-CN"/>
              </w:rPr>
            </w:pPr>
            <w:r>
              <w:rPr>
                <w:rFonts w:hint="eastAsia" w:eastAsia="仿宋_GB2312"/>
                <w:sz w:val="24"/>
                <w:highlight w:val="yellow"/>
                <w:lang w:eastAsia="zh-CN"/>
              </w:rPr>
              <w:drawing>
                <wp:inline distT="0" distB="0" distL="114300" distR="114300">
                  <wp:extent cx="7828280" cy="3868420"/>
                  <wp:effectExtent l="0" t="0" r="1270" b="1778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5"/>
                          <a:stretch>
                            <a:fillRect/>
                          </a:stretch>
                        </pic:blipFill>
                        <pic:spPr>
                          <a:xfrm>
                            <a:off x="0" y="0"/>
                            <a:ext cx="7828280" cy="386842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055110" cy="5541645"/>
                  <wp:effectExtent l="0" t="0" r="2540" b="1905"/>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6"/>
                          <a:stretch>
                            <a:fillRect/>
                          </a:stretch>
                        </pic:blipFill>
                        <pic:spPr>
                          <a:xfrm>
                            <a:off x="0" y="0"/>
                            <a:ext cx="4055110" cy="554164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724400" cy="3267075"/>
                  <wp:effectExtent l="0" t="0" r="0" b="9525"/>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7"/>
                          <a:stretch>
                            <a:fillRect/>
                          </a:stretch>
                        </pic:blipFill>
                        <pic:spPr>
                          <a:xfrm>
                            <a:off x="0" y="0"/>
                            <a:ext cx="4724400" cy="326707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940810" cy="5541645"/>
                  <wp:effectExtent l="0" t="0" r="2540" b="1905"/>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8"/>
                          <a:stretch>
                            <a:fillRect/>
                          </a:stretch>
                        </pic:blipFill>
                        <pic:spPr>
                          <a:xfrm>
                            <a:off x="0" y="0"/>
                            <a:ext cx="3940810" cy="554164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408045" cy="5541010"/>
                  <wp:effectExtent l="0" t="0" r="1905" b="254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9"/>
                          <a:stretch>
                            <a:fillRect/>
                          </a:stretch>
                        </pic:blipFill>
                        <pic:spPr>
                          <a:xfrm>
                            <a:off x="0" y="0"/>
                            <a:ext cx="3408045" cy="554101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808730" cy="5539105"/>
                  <wp:effectExtent l="0" t="0" r="1270" b="444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0"/>
                          <a:stretch>
                            <a:fillRect/>
                          </a:stretch>
                        </pic:blipFill>
                        <pic:spPr>
                          <a:xfrm>
                            <a:off x="0" y="0"/>
                            <a:ext cx="3808730" cy="553910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211320" cy="5542280"/>
                  <wp:effectExtent l="0" t="0" r="17780" b="127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1"/>
                          <a:stretch>
                            <a:fillRect/>
                          </a:stretch>
                        </pic:blipFill>
                        <pic:spPr>
                          <a:xfrm>
                            <a:off x="0" y="0"/>
                            <a:ext cx="4211320" cy="554228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231640" cy="5539740"/>
                  <wp:effectExtent l="0" t="0" r="16510" b="3810"/>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pic:cNvPicPr>
                        </pic:nvPicPr>
                        <pic:blipFill>
                          <a:blip r:embed="rId12"/>
                          <a:stretch>
                            <a:fillRect/>
                          </a:stretch>
                        </pic:blipFill>
                        <pic:spPr>
                          <a:xfrm>
                            <a:off x="0" y="0"/>
                            <a:ext cx="4231640" cy="553974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529965" cy="5537835"/>
                  <wp:effectExtent l="0" t="0" r="13335" b="5715"/>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13"/>
                          <a:stretch>
                            <a:fillRect/>
                          </a:stretch>
                        </pic:blipFill>
                        <pic:spPr>
                          <a:xfrm>
                            <a:off x="0" y="0"/>
                            <a:ext cx="3529965" cy="553783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448175" cy="5524500"/>
                  <wp:effectExtent l="0" t="0" r="9525" b="0"/>
                  <wp:docPr id="4"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
                          <pic:cNvPicPr>
                            <a:picLocks noChangeAspect="1"/>
                          </pic:cNvPicPr>
                        </pic:nvPicPr>
                        <pic:blipFill>
                          <a:blip r:embed="rId14"/>
                          <a:stretch>
                            <a:fillRect/>
                          </a:stretch>
                        </pic:blipFill>
                        <pic:spPr>
                          <a:xfrm>
                            <a:off x="0" y="0"/>
                            <a:ext cx="4448175" cy="552450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912235" cy="5539740"/>
                  <wp:effectExtent l="0" t="0" r="12065" b="3810"/>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15"/>
                          <a:stretch>
                            <a:fillRect/>
                          </a:stretch>
                        </pic:blipFill>
                        <pic:spPr>
                          <a:xfrm>
                            <a:off x="0" y="0"/>
                            <a:ext cx="3912235" cy="553974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125595" cy="5539105"/>
                  <wp:effectExtent l="0" t="0" r="8255" b="4445"/>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16"/>
                          <a:stretch>
                            <a:fillRect/>
                          </a:stretch>
                        </pic:blipFill>
                        <pic:spPr>
                          <a:xfrm>
                            <a:off x="0" y="0"/>
                            <a:ext cx="4125595" cy="553910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764280" cy="5541010"/>
                  <wp:effectExtent l="0" t="0" r="7620" b="2540"/>
                  <wp:docPr id="1" name="图片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
                          <pic:cNvPicPr>
                            <a:picLocks noChangeAspect="1"/>
                          </pic:cNvPicPr>
                        </pic:nvPicPr>
                        <pic:blipFill>
                          <a:blip r:embed="rId17"/>
                          <a:stretch>
                            <a:fillRect/>
                          </a:stretch>
                        </pic:blipFill>
                        <pic:spPr>
                          <a:xfrm>
                            <a:off x="0" y="0"/>
                            <a:ext cx="3764280" cy="5541010"/>
                          </a:xfrm>
                          <a:prstGeom prst="rect">
                            <a:avLst/>
                          </a:prstGeom>
                        </pic:spPr>
                      </pic:pic>
                    </a:graphicData>
                  </a:graphic>
                </wp:inline>
              </w:drawing>
            </w:r>
          </w:p>
        </w:tc>
      </w:tr>
    </w:tbl>
    <w:p>
      <w:pPr>
        <w:numPr>
          <w:ilvl w:val="0"/>
          <w:numId w:val="1"/>
        </w:numPr>
        <w:jc w:val="left"/>
        <w:rPr>
          <w:rFonts w:hint="eastAsia" w:eastAsia="黑体" w:cs="黑体"/>
          <w:sz w:val="32"/>
          <w:szCs w:val="32"/>
        </w:rPr>
      </w:pPr>
      <w:r>
        <w:rPr>
          <w:rFonts w:hint="eastAsia" w:eastAsia="黑体" w:cs="黑体"/>
          <w:sz w:val="32"/>
          <w:szCs w:val="32"/>
        </w:rPr>
        <w:t>环境自行监测方案</w:t>
      </w:r>
    </w:p>
    <w:tbl>
      <w:tblPr>
        <w:tblStyle w:val="2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391"/>
        <w:gridCol w:w="3174"/>
        <w:gridCol w:w="1098"/>
        <w:gridCol w:w="1099"/>
        <w:gridCol w:w="2092"/>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070"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测点位</w:t>
            </w:r>
          </w:p>
        </w:tc>
        <w:tc>
          <w:tcPr>
            <w:tcW w:w="1391"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检测项目</w:t>
            </w:r>
          </w:p>
        </w:tc>
        <w:tc>
          <w:tcPr>
            <w:tcW w:w="3174"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检测方法及检出限</w:t>
            </w:r>
          </w:p>
        </w:tc>
        <w:tc>
          <w:tcPr>
            <w:tcW w:w="1098"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排气筒</w:t>
            </w:r>
          </w:p>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高度</w:t>
            </w:r>
          </w:p>
        </w:tc>
        <w:tc>
          <w:tcPr>
            <w:tcW w:w="1099"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检测频次</w:t>
            </w:r>
          </w:p>
        </w:tc>
        <w:tc>
          <w:tcPr>
            <w:tcW w:w="2092"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监测仪器</w:t>
            </w:r>
          </w:p>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名称和型号</w:t>
            </w:r>
          </w:p>
        </w:tc>
        <w:tc>
          <w:tcPr>
            <w:tcW w:w="4536"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070" w:type="dxa"/>
            <w:vMerge w:val="restart"/>
            <w:noWrap w:val="0"/>
            <w:vAlign w:val="center"/>
          </w:tcPr>
          <w:p>
            <w:pPr>
              <w:pStyle w:val="3"/>
              <w:spacing w:line="240" w:lineRule="auto"/>
              <w:ind w:left="0" w:firstLine="0" w:firstLineChars="0"/>
              <w:rPr>
                <w:rFonts w:hint="eastAsia" w:ascii="Times New Roman" w:hAnsi="Times New Roman" w:eastAsia="宋体"/>
                <w:color w:val="000000"/>
                <w:sz w:val="21"/>
                <w:szCs w:val="21"/>
                <w:highlight w:val="yellow"/>
                <w:lang w:val="en-US" w:eastAsia="zh-CN"/>
              </w:rPr>
            </w:pPr>
            <w:r>
              <w:rPr>
                <w:rFonts w:ascii="Times New Roman" w:hAnsi="Times New Roman"/>
                <w:color w:val="000000"/>
                <w:sz w:val="21"/>
                <w:szCs w:val="21"/>
                <w:lang w:val="en-US"/>
              </w:rPr>
              <w:t>天然气锅炉排气筒过出口</w:t>
            </w:r>
            <w:r>
              <w:rPr>
                <w:rFonts w:hint="eastAsia" w:ascii="Times New Roman" w:hAnsi="Times New Roman"/>
                <w:color w:val="000000"/>
                <w:sz w:val="21"/>
                <w:szCs w:val="21"/>
                <w:lang w:val="en-US" w:eastAsia="zh-CN"/>
              </w:rPr>
              <w:t>（FQ-011）</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《锅炉烟尘测试方法》GB/T</w:t>
            </w:r>
            <w:r>
              <w:rPr>
                <w:rFonts w:ascii="Times New Roman" w:hAnsi="Times New Roman"/>
                <w:color w:val="000000"/>
                <w:sz w:val="21"/>
                <w:szCs w:val="21"/>
                <w:lang w:val="en-US"/>
              </w:rPr>
              <w:t>5468-1991</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r>
              <w:rPr>
                <w:rFonts w:hint="eastAsia" w:ascii="Times New Roman" w:hAnsi="Times New Roman" w:cs="Times New Roman"/>
                <w:color w:val="000000"/>
                <w:sz w:val="21"/>
                <w:szCs w:val="21"/>
                <w:highlight w:val="none"/>
                <w:lang w:val="en-US" w:eastAsia="zh-CN"/>
              </w:rPr>
              <w:t>10</w:t>
            </w:r>
            <w:r>
              <w:rPr>
                <w:rFonts w:hint="default" w:ascii="Times New Roman" w:hAnsi="Times New Roman" w:cs="Times New Roman"/>
                <w:color w:val="000000"/>
                <w:sz w:val="21"/>
                <w:szCs w:val="21"/>
                <w:highlight w:val="none"/>
                <w:lang w:val="en-US"/>
              </w:rPr>
              <w:t>米</w:t>
            </w:r>
          </w:p>
        </w:tc>
        <w:tc>
          <w:tcPr>
            <w:tcW w:w="1099"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eastAsia="zh-CN"/>
              </w:rPr>
              <w:t>1次/年</w:t>
            </w:r>
          </w:p>
        </w:tc>
        <w:tc>
          <w:tcPr>
            <w:tcW w:w="2092" w:type="dxa"/>
            <w:noWrap w:val="0"/>
            <w:vAlign w:val="center"/>
          </w:tcPr>
          <w:p>
            <w:pPr>
              <w:spacing w:line="240" w:lineRule="auto"/>
              <w:ind w:firstLine="0" w:firstLineChars="0"/>
              <w:jc w:val="center"/>
              <w:rPr>
                <w:color w:val="000000"/>
                <w:sz w:val="21"/>
                <w:szCs w:val="21"/>
              </w:rPr>
            </w:pPr>
            <w:r>
              <w:rPr>
                <w:rFonts w:hint="eastAsia"/>
                <w:color w:val="000000"/>
                <w:sz w:val="21"/>
                <w:szCs w:val="21"/>
              </w:rPr>
              <w:t>电子分析天平</w:t>
            </w:r>
          </w:p>
        </w:tc>
        <w:tc>
          <w:tcPr>
            <w:tcW w:w="4536"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kern w:val="2"/>
                <w:sz w:val="21"/>
                <w:szCs w:val="21"/>
                <w:highlight w:val="yellow"/>
              </w:rPr>
            </w:pPr>
            <w:r>
              <w:rPr>
                <w:rFonts w:hint="default" w:ascii="Times New Roman" w:hAnsi="Times New Roman" w:cs="Times New Roman"/>
                <w:kern w:val="2"/>
                <w:sz w:val="21"/>
                <w:szCs w:val="21"/>
                <w:highlight w:val="none"/>
              </w:rPr>
              <w:t>《河北省大气污染防治工作领导小组办公室关于开展燃气锅炉氮氧化物治理工作的通知》（冀气领办【2018】177号）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highlight w:val="yellow"/>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二氧化硫</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 xml:space="preserve">《固定污染源废气 二氧化硫的测定 定点位电解法》HJ57-2017 </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eastAsia="zh-CN"/>
              </w:rPr>
              <w:t>1次/年</w:t>
            </w:r>
          </w:p>
        </w:tc>
        <w:tc>
          <w:tcPr>
            <w:tcW w:w="2092" w:type="dxa"/>
            <w:noWrap w:val="0"/>
            <w:vAlign w:val="center"/>
          </w:tcPr>
          <w:p>
            <w:pPr>
              <w:spacing w:line="240" w:lineRule="auto"/>
              <w:ind w:firstLine="0" w:firstLineChars="0"/>
              <w:jc w:val="center"/>
              <w:rPr>
                <w:color w:val="000000"/>
                <w:sz w:val="21"/>
                <w:szCs w:val="21"/>
              </w:rPr>
            </w:pPr>
            <w:r>
              <w:rPr>
                <w:rFonts w:hint="eastAsia"/>
                <w:color w:val="000000"/>
                <w:sz w:val="21"/>
                <w:szCs w:val="21"/>
              </w:rPr>
              <w:t>烟尘采样器</w:t>
            </w:r>
          </w:p>
        </w:tc>
        <w:tc>
          <w:tcPr>
            <w:tcW w:w="4536"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highlight w:val="yellow"/>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氮氧化物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《固定污染源废气 氮氧化物的测定 定点位电解法》HJ693-2014</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1次/月</w:t>
            </w:r>
          </w:p>
        </w:tc>
        <w:tc>
          <w:tcPr>
            <w:tcW w:w="2092" w:type="dxa"/>
            <w:noWrap w:val="0"/>
            <w:vAlign w:val="center"/>
          </w:tcPr>
          <w:p>
            <w:pPr>
              <w:spacing w:line="240" w:lineRule="auto"/>
              <w:ind w:firstLine="0" w:firstLineChars="0"/>
              <w:jc w:val="center"/>
              <w:rPr>
                <w:color w:val="000000"/>
                <w:sz w:val="21"/>
                <w:szCs w:val="21"/>
                <w:lang w:val="zh-CN"/>
              </w:rPr>
            </w:pPr>
            <w:r>
              <w:rPr>
                <w:rFonts w:hint="eastAsia"/>
                <w:color w:val="000000"/>
                <w:sz w:val="21"/>
                <w:szCs w:val="21"/>
              </w:rPr>
              <w:t>烟尘采样器</w:t>
            </w:r>
          </w:p>
        </w:tc>
        <w:tc>
          <w:tcPr>
            <w:tcW w:w="4536" w:type="dxa"/>
            <w:vMerge w:val="continue"/>
            <w:noWrap w:val="0"/>
            <w:vAlign w:val="center"/>
          </w:tcPr>
          <w:p>
            <w:pPr>
              <w:keepNext w:val="0"/>
              <w:keepLines w:val="0"/>
              <w:pageBreakBefore w:val="0"/>
              <w:kinsoku/>
              <w:wordWrap/>
              <w:overflowPunct/>
              <w:topLinePunct w:val="0"/>
              <w:bidi w:val="0"/>
              <w:spacing w:beforeAutospacing="0" w:line="240" w:lineRule="auto"/>
              <w:ind w:left="0" w:leftChars="0" w:firstLine="0" w:firstLineChars="0"/>
              <w:jc w:val="center"/>
              <w:textAlignment w:val="auto"/>
              <w:rPr>
                <w:sz w:val="21"/>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highlight w:val="yellow"/>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林格曼黑度</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 xml:space="preserve">固定污染源排放烟气黑度的测定 林格曼烟气黑度图法HJ/T 398 </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eastAsia="zh-CN"/>
              </w:rPr>
              <w:t>1次/年</w:t>
            </w:r>
          </w:p>
        </w:tc>
        <w:tc>
          <w:tcPr>
            <w:tcW w:w="2092" w:type="dxa"/>
            <w:noWrap w:val="0"/>
            <w:vAlign w:val="center"/>
          </w:tcPr>
          <w:p>
            <w:pPr>
              <w:spacing w:line="240" w:lineRule="auto"/>
              <w:ind w:firstLine="0" w:firstLineChars="0"/>
              <w:jc w:val="center"/>
              <w:rPr>
                <w:color w:val="000000"/>
                <w:sz w:val="21"/>
                <w:szCs w:val="21"/>
              </w:rPr>
            </w:pPr>
            <w:r>
              <w:rPr>
                <w:color w:val="000000"/>
                <w:sz w:val="21"/>
                <w:szCs w:val="21"/>
              </w:rPr>
              <w:t>/</w:t>
            </w:r>
          </w:p>
        </w:tc>
        <w:tc>
          <w:tcPr>
            <w:tcW w:w="4536" w:type="dxa"/>
            <w:noWrap w:val="0"/>
            <w:vAlign w:val="center"/>
          </w:tcPr>
          <w:p>
            <w:pPr>
              <w:keepNext w:val="0"/>
              <w:keepLines w:val="0"/>
              <w:pageBreakBefore w:val="0"/>
              <w:kinsoku/>
              <w:wordWrap/>
              <w:overflowPunct/>
              <w:topLinePunct w:val="0"/>
              <w:bidi w:val="0"/>
              <w:spacing w:beforeAutospacing="0" w:line="240" w:lineRule="auto"/>
              <w:ind w:left="0" w:leftChars="0" w:firstLine="0" w:firstLineChars="0"/>
              <w:jc w:val="center"/>
              <w:textAlignment w:val="auto"/>
              <w:rPr>
                <w:sz w:val="21"/>
                <w:szCs w:val="21"/>
                <w:highlight w:val="yellow"/>
              </w:rPr>
            </w:pPr>
            <w:r>
              <w:rPr>
                <w:rFonts w:hint="eastAsia"/>
                <w:sz w:val="21"/>
                <w:szCs w:val="21"/>
              </w:rPr>
              <w:t>《锅炉大气污染物排放标准》（DB13/5161-2020）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070" w:type="dxa"/>
            <w:vMerge w:val="restart"/>
            <w:noWrap w:val="0"/>
            <w:vAlign w:val="center"/>
          </w:tcPr>
          <w:p>
            <w:pPr>
              <w:pStyle w:val="3"/>
              <w:spacing w:line="240" w:lineRule="auto"/>
              <w:ind w:left="0" w:firstLine="0" w:firstLineChars="0"/>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密炼、开炼</w:t>
            </w:r>
            <w:r>
              <w:rPr>
                <w:rFonts w:ascii="Times New Roman" w:hAnsi="Times New Roman"/>
                <w:color w:val="000000"/>
                <w:sz w:val="21"/>
                <w:szCs w:val="21"/>
                <w:lang w:val="en-US"/>
              </w:rPr>
              <w:t>工序静电回收装置排气筒出口</w:t>
            </w:r>
            <w:r>
              <w:rPr>
                <w:rFonts w:hint="eastAsia" w:ascii="Times New Roman" w:hAnsi="Times New Roman"/>
                <w:color w:val="000000"/>
                <w:sz w:val="21"/>
                <w:szCs w:val="21"/>
                <w:lang w:val="en-US" w:eastAsia="zh-CN"/>
              </w:rPr>
              <w:t>（FQ-005）</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r>
              <w:rPr>
                <w:rFonts w:hint="eastAsia" w:ascii="Times New Roman" w:hAnsi="Times New Roman" w:cs="Times New Roman"/>
                <w:color w:val="000000"/>
                <w:sz w:val="21"/>
                <w:szCs w:val="21"/>
                <w:highlight w:val="none"/>
                <w:lang w:val="en-US" w:eastAsia="zh-CN"/>
              </w:rPr>
              <w:t>25米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sz w:val="21"/>
                <w:szCs w:val="21"/>
                <w:highlight w:val="yellow"/>
              </w:rPr>
            </w:pPr>
            <w:r>
              <w:rPr>
                <w:rFonts w:hint="eastAsia"/>
                <w:color w:val="000000"/>
                <w:sz w:val="21"/>
                <w:szCs w:val="21"/>
              </w:rPr>
              <w:t>电子分析天平</w:t>
            </w:r>
          </w:p>
        </w:tc>
        <w:tc>
          <w:tcPr>
            <w:tcW w:w="4536" w:type="dxa"/>
            <w:noWrap w:val="0"/>
            <w:vAlign w:val="center"/>
          </w:tcPr>
          <w:p>
            <w:pPr>
              <w:spacing w:line="240" w:lineRule="auto"/>
              <w:ind w:firstLine="0" w:firstLineChars="0"/>
              <w:rPr>
                <w:color w:val="000000"/>
                <w:sz w:val="21"/>
                <w:szCs w:val="21"/>
                <w:highlight w:val="yellow"/>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highlight w:val="yellow"/>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rPr>
                <w:color w:val="000000"/>
                <w:sz w:val="21"/>
                <w:szCs w:val="21"/>
                <w:highlight w:val="yellow"/>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spacing w:line="240" w:lineRule="auto"/>
              <w:ind w:firstLine="0" w:firstLineChars="0"/>
              <w:jc w:val="center"/>
              <w:rPr>
                <w:sz w:val="21"/>
                <w:szCs w:val="21"/>
                <w:highlight w:val="yellow"/>
                <w:lang w:val="zh-CN"/>
              </w:rPr>
            </w:pPr>
            <w:r>
              <w:rPr>
                <w:color w:val="000000"/>
                <w:sz w:val="21"/>
                <w:szCs w:val="21"/>
              </w:rPr>
              <w:t>气相色谱仪</w:t>
            </w:r>
          </w:p>
        </w:tc>
        <w:tc>
          <w:tcPr>
            <w:tcW w:w="4536" w:type="dxa"/>
            <w:noWrap w:val="0"/>
            <w:vAlign w:val="center"/>
          </w:tcPr>
          <w:p>
            <w:pPr>
              <w:spacing w:line="240" w:lineRule="auto"/>
              <w:ind w:firstLine="0" w:firstLineChars="0"/>
              <w:rPr>
                <w:sz w:val="21"/>
                <w:szCs w:val="21"/>
                <w:highlight w:val="yellow"/>
                <w:lang w:val="zh-CN"/>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sz w:val="21"/>
                <w:szCs w:val="21"/>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highlight w:val="yellow"/>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jc w:val="center"/>
              <w:rPr>
                <w:sz w:val="21"/>
                <w:szCs w:val="21"/>
                <w:highlight w:val="yellow"/>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恶臭的测定 三点比较式臭袋法 GB T 14675-1993</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spacing w:line="240" w:lineRule="auto"/>
              <w:ind w:firstLine="0" w:firstLineChars="0"/>
              <w:jc w:val="center"/>
              <w:rPr>
                <w:rFonts w:hint="default" w:ascii="Times New Roman" w:hAnsi="Times New Roman" w:cs="Times New Roman"/>
                <w:color w:val="000000"/>
                <w:sz w:val="21"/>
                <w:szCs w:val="21"/>
                <w:highlight w:val="none"/>
              </w:rPr>
            </w:pPr>
            <w:r>
              <w:rPr>
                <w:rFonts w:hint="eastAsia"/>
                <w:color w:val="000000"/>
                <w:sz w:val="21"/>
                <w:szCs w:val="21"/>
                <w:lang w:val="en-US" w:eastAsia="zh-CN"/>
              </w:rPr>
              <w:t>/</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restart"/>
            <w:noWrap w:val="0"/>
            <w:vAlign w:val="center"/>
          </w:tcPr>
          <w:p>
            <w:pPr>
              <w:pStyle w:val="3"/>
              <w:spacing w:line="240" w:lineRule="auto"/>
              <w:ind w:left="0" w:firstLine="0" w:firstLineChars="0"/>
              <w:jc w:val="center"/>
              <w:rPr>
                <w:rFonts w:hint="eastAsia" w:ascii="Times New Roman" w:hAnsi="Times New Roman" w:eastAsia="宋体"/>
                <w:color w:val="000000"/>
                <w:sz w:val="21"/>
                <w:szCs w:val="21"/>
                <w:lang w:val="en-US" w:eastAsia="zh-CN"/>
              </w:rPr>
            </w:pPr>
            <w:r>
              <w:rPr>
                <w:rFonts w:ascii="Times New Roman" w:hAnsi="Times New Roman"/>
                <w:color w:val="000000"/>
                <w:sz w:val="21"/>
                <w:szCs w:val="21"/>
                <w:lang w:val="en-US"/>
              </w:rPr>
              <w:t>配料工序布袋除尘器排气筒出口</w:t>
            </w:r>
            <w:r>
              <w:rPr>
                <w:rFonts w:hint="eastAsia" w:ascii="Times New Roman" w:hAnsi="Times New Roman"/>
                <w:color w:val="000000"/>
                <w:sz w:val="21"/>
                <w:szCs w:val="21"/>
                <w:lang w:val="en-US" w:eastAsia="zh-CN"/>
              </w:rPr>
              <w:t>（FQ-010）</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r>
              <w:rPr>
                <w:rFonts w:hint="eastAsia" w:ascii="Times New Roman" w:hAnsi="Times New Roman" w:cs="Times New Roman"/>
                <w:color w:val="000000"/>
                <w:sz w:val="21"/>
                <w:szCs w:val="21"/>
                <w:highlight w:val="none"/>
                <w:lang w:val="en-US" w:eastAsia="zh-CN"/>
              </w:rPr>
              <w:t>15米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rFonts w:ascii="Times New Roman" w:hAnsi="Times New Roman"/>
                <w:color w:val="000000"/>
                <w:sz w:val="21"/>
                <w:szCs w:val="21"/>
              </w:rPr>
            </w:pPr>
            <w:r>
              <w:rPr>
                <w:rFonts w:hint="eastAsia"/>
                <w:color w:val="000000"/>
                <w:sz w:val="21"/>
                <w:szCs w:val="21"/>
              </w:rPr>
              <w:t>电子分析天平</w:t>
            </w:r>
          </w:p>
        </w:tc>
        <w:tc>
          <w:tcPr>
            <w:tcW w:w="4536" w:type="dxa"/>
            <w:noWrap w:val="0"/>
            <w:vAlign w:val="center"/>
          </w:tcPr>
          <w:p>
            <w:pPr>
              <w:spacing w:line="240" w:lineRule="auto"/>
              <w:ind w:firstLine="0" w:firstLineChars="0"/>
              <w:rPr>
                <w:sz w:val="21"/>
                <w:szCs w:val="21"/>
                <w:highlight w:val="yellow"/>
                <w:lang w:val="zh-CN"/>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spacing w:line="240" w:lineRule="auto"/>
              <w:ind w:firstLine="0" w:firstLineChars="0"/>
              <w:jc w:val="center"/>
              <w:rPr>
                <w:rFonts w:ascii="Times New Roman" w:hAnsi="Times New Roman"/>
                <w:color w:val="000000"/>
                <w:sz w:val="21"/>
                <w:szCs w:val="21"/>
              </w:rPr>
            </w:pPr>
            <w:r>
              <w:rPr>
                <w:color w:val="000000"/>
                <w:sz w:val="21"/>
                <w:szCs w:val="21"/>
              </w:rPr>
              <w:t>气相色谱仪</w:t>
            </w:r>
          </w:p>
        </w:tc>
        <w:tc>
          <w:tcPr>
            <w:tcW w:w="4536" w:type="dxa"/>
            <w:noWrap w:val="0"/>
            <w:vAlign w:val="center"/>
          </w:tcPr>
          <w:p>
            <w:pPr>
              <w:spacing w:line="240" w:lineRule="auto"/>
              <w:ind w:firstLine="0" w:firstLineChars="0"/>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rFonts w:ascii="Times New Roman" w:hAnsi="Times New Roman"/>
                <w:color w:val="000000"/>
                <w:sz w:val="21"/>
                <w:szCs w:val="21"/>
                <w:lang w:val="en-US"/>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jc w:val="center"/>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恶臭的测定 三点比较式臭袋法 GB T 14675-1993</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spacing w:line="240" w:lineRule="auto"/>
              <w:ind w:firstLine="0" w:firstLineChars="0"/>
              <w:jc w:val="center"/>
              <w:rPr>
                <w:rFonts w:hint="default" w:ascii="Times New Roman" w:hAnsi="Times New Roman" w:cs="Times New Roman"/>
                <w:color w:val="000000"/>
                <w:sz w:val="21"/>
                <w:szCs w:val="21"/>
                <w:highlight w:val="none"/>
              </w:rPr>
            </w:pPr>
            <w:r>
              <w:rPr>
                <w:rFonts w:hint="eastAsia"/>
                <w:color w:val="000000"/>
                <w:sz w:val="21"/>
                <w:szCs w:val="21"/>
                <w:lang w:val="en-US" w:eastAsia="zh-CN"/>
              </w:rPr>
              <w:t>/</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070" w:type="dxa"/>
            <w:vMerge w:val="restart"/>
            <w:noWrap w:val="0"/>
            <w:vAlign w:val="center"/>
          </w:tcPr>
          <w:p>
            <w:pPr>
              <w:pStyle w:val="3"/>
              <w:spacing w:line="240" w:lineRule="auto"/>
              <w:ind w:left="0" w:firstLine="0" w:firstLineChars="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发泡工序处理设施</w:t>
            </w:r>
            <w:r>
              <w:rPr>
                <w:rFonts w:ascii="Times New Roman" w:hAnsi="Times New Roman"/>
                <w:color w:val="000000"/>
                <w:sz w:val="21"/>
                <w:szCs w:val="21"/>
                <w:lang w:val="en-US"/>
              </w:rPr>
              <w:t>排气筒出口</w:t>
            </w:r>
            <w:r>
              <w:rPr>
                <w:rFonts w:hint="eastAsia" w:ascii="Times New Roman" w:hAnsi="Times New Roman"/>
                <w:color w:val="000000"/>
                <w:sz w:val="21"/>
                <w:szCs w:val="21"/>
                <w:lang w:val="en-US" w:eastAsia="zh-CN"/>
              </w:rPr>
              <w:t>（FQ-002）</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r>
              <w:rPr>
                <w:rFonts w:hint="eastAsia" w:ascii="Times New Roman" w:hAnsi="Times New Roman" w:cs="Times New Roman"/>
                <w:color w:val="000000"/>
                <w:sz w:val="21"/>
                <w:szCs w:val="21"/>
                <w:highlight w:val="none"/>
                <w:lang w:val="en-US" w:eastAsia="zh-CN"/>
              </w:rPr>
              <w:t>25米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color w:val="000000"/>
                <w:sz w:val="21"/>
                <w:szCs w:val="21"/>
              </w:rPr>
            </w:pPr>
            <w:r>
              <w:rPr>
                <w:rFonts w:hint="eastAsia"/>
                <w:color w:val="000000"/>
                <w:sz w:val="21"/>
                <w:szCs w:val="21"/>
              </w:rPr>
              <w:t>电子分析天平</w:t>
            </w:r>
          </w:p>
        </w:tc>
        <w:tc>
          <w:tcPr>
            <w:tcW w:w="4536" w:type="dxa"/>
            <w:noWrap w:val="0"/>
            <w:vAlign w:val="center"/>
          </w:tcPr>
          <w:p>
            <w:pPr>
              <w:spacing w:line="240" w:lineRule="auto"/>
              <w:ind w:firstLine="0" w:firstLineChars="0"/>
              <w:rPr>
                <w:sz w:val="21"/>
                <w:szCs w:val="21"/>
                <w:highlight w:val="yellow"/>
                <w:lang w:val="zh-CN"/>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spacing w:line="240" w:lineRule="auto"/>
              <w:ind w:firstLine="0" w:firstLineChars="0"/>
              <w:jc w:val="center"/>
              <w:rPr>
                <w:color w:val="000000"/>
                <w:sz w:val="21"/>
                <w:szCs w:val="21"/>
              </w:rPr>
            </w:pPr>
            <w:r>
              <w:rPr>
                <w:color w:val="000000"/>
                <w:sz w:val="21"/>
                <w:szCs w:val="21"/>
              </w:rPr>
              <w:t>气相色谱仪</w:t>
            </w:r>
          </w:p>
        </w:tc>
        <w:tc>
          <w:tcPr>
            <w:tcW w:w="4536" w:type="dxa"/>
            <w:noWrap w:val="0"/>
            <w:vAlign w:val="center"/>
          </w:tcPr>
          <w:p>
            <w:pPr>
              <w:spacing w:line="240" w:lineRule="auto"/>
              <w:ind w:firstLine="0" w:firstLineChars="0"/>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rFonts w:ascii="Times New Roman" w:hAnsi="Times New Roman"/>
                <w:color w:val="000000"/>
                <w:sz w:val="21"/>
                <w:szCs w:val="21"/>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jc w:val="center"/>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恶臭的测定 三点比较式臭袋法 GB T 14675-1993</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spacing w:line="240" w:lineRule="auto"/>
              <w:ind w:firstLine="0" w:firstLineChars="0"/>
              <w:jc w:val="center"/>
              <w:rPr>
                <w:rFonts w:hint="default" w:ascii="Times New Roman" w:hAnsi="Times New Roman" w:cs="Times New Roman"/>
                <w:color w:val="000000"/>
                <w:sz w:val="21"/>
                <w:szCs w:val="21"/>
                <w:highlight w:val="none"/>
              </w:rPr>
            </w:pPr>
            <w:r>
              <w:rPr>
                <w:rFonts w:hint="eastAsia"/>
                <w:color w:val="000000"/>
                <w:sz w:val="21"/>
                <w:szCs w:val="21"/>
                <w:lang w:val="en-US" w:eastAsia="zh-CN"/>
              </w:rPr>
              <w:t>/</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070" w:type="dxa"/>
            <w:vMerge w:val="restart"/>
            <w:noWrap w:val="0"/>
            <w:vAlign w:val="center"/>
          </w:tcPr>
          <w:p>
            <w:pPr>
              <w:pStyle w:val="3"/>
              <w:spacing w:line="240" w:lineRule="auto"/>
              <w:ind w:left="0" w:firstLine="0" w:firstLineChars="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开布工序处理设施</w:t>
            </w:r>
            <w:r>
              <w:rPr>
                <w:rFonts w:ascii="Times New Roman" w:hAnsi="Times New Roman"/>
                <w:color w:val="000000"/>
                <w:sz w:val="21"/>
                <w:szCs w:val="21"/>
                <w:lang w:val="en-US"/>
              </w:rPr>
              <w:t>排气筒出口</w:t>
            </w:r>
            <w:r>
              <w:rPr>
                <w:rFonts w:hint="eastAsia" w:ascii="Times New Roman" w:hAnsi="Times New Roman"/>
                <w:color w:val="000000"/>
                <w:sz w:val="21"/>
                <w:szCs w:val="21"/>
                <w:lang w:val="en-US" w:eastAsia="zh-CN"/>
              </w:rPr>
              <w:t>（FQ-003）</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r>
              <w:rPr>
                <w:rFonts w:hint="eastAsia" w:ascii="Times New Roman" w:hAnsi="Times New Roman" w:cs="Times New Roman"/>
                <w:color w:val="000000"/>
                <w:sz w:val="21"/>
                <w:szCs w:val="21"/>
                <w:highlight w:val="none"/>
                <w:lang w:val="en-US" w:eastAsia="zh-CN"/>
              </w:rPr>
              <w:t>25米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rFonts w:ascii="Times New Roman" w:hAnsi="Times New Roman"/>
                <w:color w:val="000000"/>
                <w:sz w:val="21"/>
                <w:szCs w:val="21"/>
              </w:rPr>
            </w:pPr>
            <w:r>
              <w:rPr>
                <w:rFonts w:hint="eastAsia"/>
                <w:color w:val="000000"/>
                <w:sz w:val="21"/>
                <w:szCs w:val="21"/>
              </w:rPr>
              <w:t>电子分析天平</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spacing w:line="240" w:lineRule="auto"/>
              <w:ind w:firstLine="0" w:firstLineChars="0"/>
              <w:jc w:val="center"/>
              <w:rPr>
                <w:color w:val="000000"/>
                <w:sz w:val="21"/>
                <w:szCs w:val="21"/>
              </w:rPr>
            </w:pPr>
            <w:r>
              <w:rPr>
                <w:color w:val="000000"/>
                <w:sz w:val="21"/>
                <w:szCs w:val="21"/>
              </w:rPr>
              <w:t>气相色谱仪</w:t>
            </w:r>
          </w:p>
        </w:tc>
        <w:tc>
          <w:tcPr>
            <w:tcW w:w="4536" w:type="dxa"/>
            <w:noWrap w:val="0"/>
            <w:vAlign w:val="center"/>
          </w:tcPr>
          <w:p>
            <w:pPr>
              <w:spacing w:line="240" w:lineRule="auto"/>
              <w:ind w:firstLine="0" w:firstLineChars="0"/>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color w:val="000000"/>
                <w:sz w:val="21"/>
                <w:szCs w:val="21"/>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jc w:val="center"/>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恶臭的测定 三点比较式臭袋法 GB T 14675-1993</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spacing w:line="240" w:lineRule="auto"/>
              <w:ind w:firstLine="0" w:firstLineChars="0"/>
              <w:jc w:val="center"/>
              <w:rPr>
                <w:rFonts w:hint="default" w:ascii="Times New Roman" w:hAnsi="Times New Roman" w:cs="Times New Roman"/>
                <w:color w:val="000000"/>
                <w:sz w:val="21"/>
                <w:szCs w:val="21"/>
                <w:highlight w:val="none"/>
              </w:rPr>
            </w:pPr>
            <w:r>
              <w:rPr>
                <w:rFonts w:hint="eastAsia"/>
                <w:color w:val="000000"/>
                <w:sz w:val="21"/>
                <w:szCs w:val="21"/>
                <w:lang w:val="en-US" w:eastAsia="zh-CN"/>
              </w:rPr>
              <w:t>/</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0" w:type="dxa"/>
            <w:vMerge w:val="restart"/>
            <w:noWrap w:val="0"/>
            <w:vAlign w:val="center"/>
          </w:tcPr>
          <w:p>
            <w:pPr>
              <w:pStyle w:val="3"/>
              <w:spacing w:line="240" w:lineRule="auto"/>
              <w:ind w:left="0" w:firstLine="0" w:firstLineChars="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表面处理工序处理设施排气筒出口</w:t>
            </w:r>
            <w:r>
              <w:rPr>
                <w:rFonts w:hint="eastAsia" w:ascii="Times New Roman" w:hAnsi="Times New Roman"/>
                <w:color w:val="000000"/>
                <w:sz w:val="21"/>
                <w:szCs w:val="21"/>
                <w:lang w:val="en-US" w:eastAsia="zh-CN"/>
              </w:rPr>
              <w:t>（FQ-001）</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ascii="Times New Roman" w:hAnsi="Times New Roman"/>
                <w:color w:val="000000"/>
                <w:sz w:val="21"/>
                <w:szCs w:val="21"/>
              </w:rPr>
            </w:pPr>
            <w:r>
              <w:rPr>
                <w:rFonts w:hint="eastAsia"/>
                <w:color w:val="000000"/>
                <w:sz w:val="21"/>
                <w:szCs w:val="21"/>
              </w:rPr>
              <w:t>恶臭的测定 三点比较式臭袋法 GB T 14675-1993</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r>
              <w:rPr>
                <w:rFonts w:hint="eastAsia" w:ascii="Times New Roman" w:hAnsi="Times New Roman" w:cs="Times New Roman"/>
                <w:color w:val="000000"/>
                <w:sz w:val="21"/>
                <w:szCs w:val="21"/>
                <w:highlight w:val="none"/>
                <w:lang w:val="en-US" w:eastAsia="zh-CN"/>
              </w:rPr>
              <w:t>25</w:t>
            </w:r>
            <w:r>
              <w:rPr>
                <w:rFonts w:hint="default" w:ascii="Times New Roman" w:hAnsi="Times New Roman" w:cs="Times New Roman"/>
                <w:color w:val="000000"/>
                <w:sz w:val="21"/>
                <w:szCs w:val="21"/>
                <w:highlight w:val="none"/>
                <w:lang w:val="en-US"/>
              </w:rPr>
              <w:t>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w:t>
            </w:r>
          </w:p>
        </w:tc>
        <w:tc>
          <w:tcPr>
            <w:tcW w:w="4536" w:type="dxa"/>
            <w:noWrap w:val="0"/>
            <w:vAlign w:val="center"/>
          </w:tcPr>
          <w:p>
            <w:pPr>
              <w:spacing w:line="240" w:lineRule="auto"/>
              <w:ind w:firstLine="0" w:firstLineChars="0"/>
              <w:jc w:val="center"/>
              <w:rPr>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070" w:type="dxa"/>
            <w:vMerge w:val="continue"/>
            <w:noWrap w:val="0"/>
            <w:vAlign w:val="center"/>
          </w:tcPr>
          <w:p>
            <w:pPr>
              <w:pStyle w:val="3"/>
              <w:spacing w:line="240" w:lineRule="auto"/>
              <w:ind w:left="0" w:firstLine="0" w:firstLineChars="0"/>
              <w:jc w:val="center"/>
              <w:rPr>
                <w:rFonts w:hint="eastAsia"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color w:val="000000"/>
                <w:sz w:val="21"/>
                <w:szCs w:val="21"/>
              </w:rPr>
            </w:pPr>
            <w:r>
              <w:rPr>
                <w:rFonts w:hint="default" w:ascii="Times New Roman" w:hAnsi="Times New Roman" w:cs="Times New Roman"/>
                <w:color w:val="000000"/>
                <w:sz w:val="21"/>
                <w:szCs w:val="21"/>
                <w:highlight w:val="none"/>
              </w:rPr>
              <w:t>气相色谱仪</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0" w:type="dxa"/>
            <w:vMerge w:val="continue"/>
            <w:noWrap w:val="0"/>
            <w:vAlign w:val="center"/>
          </w:tcPr>
          <w:p>
            <w:pPr>
              <w:pStyle w:val="3"/>
              <w:spacing w:line="240" w:lineRule="auto"/>
              <w:ind w:left="0" w:firstLine="0" w:firstLineChars="0"/>
              <w:jc w:val="center"/>
              <w:rPr>
                <w:rFonts w:hint="eastAsia"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keepNext w:val="0"/>
              <w:keepLines w:val="0"/>
              <w:pageBreakBefore w:val="0"/>
              <w:kinsoku/>
              <w:wordWrap/>
              <w:overflowPunct/>
              <w:topLinePunct w:val="0"/>
              <w:bidi w:val="0"/>
              <w:spacing w:beforeAutospacing="0" w:line="240" w:lineRule="auto"/>
              <w:ind w:left="0" w:leftChars="0" w:firstLine="0" w:firstLineChars="0"/>
              <w:jc w:val="center"/>
              <w:textAlignment w:val="auto"/>
              <w:rPr>
                <w:color w:val="000000"/>
                <w:sz w:val="21"/>
                <w:szCs w:val="21"/>
              </w:rPr>
            </w:pPr>
            <w:r>
              <w:rPr>
                <w:rFonts w:hint="default" w:ascii="Times New Roman" w:hAnsi="Times New Roman" w:cs="Times New Roman"/>
                <w:color w:val="000000"/>
                <w:sz w:val="21"/>
                <w:szCs w:val="21"/>
                <w:highlight w:val="none"/>
              </w:rPr>
              <w:t>气相色谱仪</w:t>
            </w:r>
          </w:p>
        </w:tc>
        <w:tc>
          <w:tcPr>
            <w:tcW w:w="4536" w:type="dxa"/>
            <w:noWrap w:val="0"/>
            <w:vAlign w:val="center"/>
          </w:tcPr>
          <w:p>
            <w:pPr>
              <w:spacing w:line="240" w:lineRule="auto"/>
              <w:ind w:firstLine="0" w:firstLineChars="0"/>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color w:val="000000"/>
                <w:sz w:val="21"/>
                <w:szCs w:val="21"/>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rPr>
              <w:t>气相色谱仪</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ascii="Times New Roman" w:hAnsi="Times New Roman"/>
                <w:color w:val="000000"/>
                <w:sz w:val="21"/>
                <w:szCs w:val="21"/>
                <w:lang w:val="en-US"/>
              </w:rPr>
              <w:t>配料工序布袋除尘器排气筒出口</w:t>
            </w:r>
            <w:r>
              <w:rPr>
                <w:rFonts w:hint="eastAsia" w:ascii="Times New Roman" w:hAnsi="Times New Roman"/>
                <w:color w:val="000000"/>
                <w:sz w:val="21"/>
                <w:szCs w:val="21"/>
                <w:lang w:val="en-US" w:eastAsia="zh-CN"/>
              </w:rPr>
              <w:t>（FQ-009）</w:t>
            </w: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15米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rFonts w:hint="default" w:ascii="Times New Roman" w:hAnsi="Times New Roman"/>
                <w:color w:val="000000"/>
                <w:kern w:val="2"/>
                <w:sz w:val="21"/>
                <w:szCs w:val="21"/>
                <w:lang w:val="en-US" w:eastAsia="zh-CN" w:bidi="ar-SA"/>
              </w:rPr>
            </w:pPr>
            <w:r>
              <w:rPr>
                <w:rFonts w:hint="eastAsia"/>
                <w:color w:val="000000"/>
                <w:sz w:val="21"/>
                <w:szCs w:val="21"/>
              </w:rPr>
              <w:t>电子分析天平</w:t>
            </w:r>
          </w:p>
        </w:tc>
        <w:tc>
          <w:tcPr>
            <w:tcW w:w="4536" w:type="dxa"/>
            <w:noWrap w:val="0"/>
            <w:vAlign w:val="center"/>
          </w:tcPr>
          <w:p>
            <w:pPr>
              <w:spacing w:line="240" w:lineRule="auto"/>
              <w:ind w:firstLine="0" w:firstLineChars="0"/>
              <w:rPr>
                <w:rFonts w:hint="eastAsia"/>
                <w:kern w:val="2"/>
                <w:sz w:val="21"/>
                <w:szCs w:val="21"/>
                <w:highlight w:val="yellow"/>
                <w:lang w:val="zh-CN"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default" w:ascii="Times New Roman" w:hAnsi="Times New Roman"/>
                <w:color w:val="000000"/>
                <w:kern w:val="0"/>
                <w:sz w:val="21"/>
                <w:szCs w:val="21"/>
                <w:lang w:val="zh-CN"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spacing w:line="240" w:lineRule="auto"/>
              <w:ind w:firstLine="0" w:firstLineChars="0"/>
              <w:jc w:val="center"/>
              <w:rPr>
                <w:rFonts w:hint="default" w:ascii="Times New Roman" w:hAnsi="Times New Roman"/>
                <w:color w:val="000000"/>
                <w:kern w:val="2"/>
                <w:sz w:val="21"/>
                <w:szCs w:val="21"/>
                <w:lang w:val="en-US" w:eastAsia="zh-CN" w:bidi="ar-SA"/>
              </w:rPr>
            </w:pPr>
            <w:r>
              <w:rPr>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ascii="Times New Roman" w:hAnsi="Times New Roman"/>
                <w:color w:val="000000"/>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default" w:ascii="Times New Roman" w:hAnsi="Times New Roman"/>
                <w:color w:val="000000"/>
                <w:kern w:val="0"/>
                <w:sz w:val="21"/>
                <w:szCs w:val="21"/>
                <w:lang w:val="zh-CN"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spacing w:line="240" w:lineRule="auto"/>
              <w:ind w:firstLine="0" w:firstLineChars="0"/>
              <w:jc w:val="center"/>
              <w:rPr>
                <w:rFonts w:hint="default" w:ascii="Times New Roman" w:hAnsi="Times New Roman" w:cs="Times New Roman"/>
                <w:color w:val="000000"/>
                <w:kern w:val="2"/>
                <w:sz w:val="21"/>
                <w:szCs w:val="21"/>
                <w:highlight w:val="none"/>
                <w:lang w:val="en-US" w:eastAsia="zh-CN" w:bidi="ar-SA"/>
              </w:rPr>
            </w:pPr>
            <w:r>
              <w:rPr>
                <w:rFonts w:hint="eastAsia"/>
                <w:color w:val="000000"/>
                <w:sz w:val="21"/>
                <w:szCs w:val="21"/>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表面处理工序处理设施排气筒出口</w:t>
            </w:r>
            <w:r>
              <w:rPr>
                <w:rFonts w:hint="eastAsia" w:ascii="Times New Roman" w:hAnsi="Times New Roman"/>
                <w:color w:val="000000"/>
                <w:sz w:val="21"/>
                <w:szCs w:val="21"/>
                <w:lang w:val="en-US" w:eastAsia="zh-CN"/>
              </w:rPr>
              <w:t>（FQ-004）</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ascii="Times New Roman" w:hAnsi="Times New Roman"/>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25</w:t>
            </w:r>
            <w:r>
              <w:rPr>
                <w:rFonts w:hint="default" w:ascii="Times New Roman" w:hAnsi="Times New Roman" w:cs="Times New Roman"/>
                <w:color w:val="000000"/>
                <w:sz w:val="21"/>
                <w:szCs w:val="21"/>
                <w:highlight w:val="none"/>
                <w:lang w:val="en-US"/>
              </w:rPr>
              <w:t>米</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ahoma" w:hAnsi="Tahoma"/>
                <w:color w:val="000000"/>
                <w:kern w:val="0"/>
                <w:sz w:val="21"/>
                <w:szCs w:val="21"/>
                <w:lang w:val="en-US" w:eastAsia="zh-CN" w:bidi="ar-SA"/>
              </w:rPr>
            </w:pPr>
            <w:r>
              <w:rPr>
                <w:rFonts w:hint="default" w:ascii="Times New Roman" w:hAnsi="Times New Roman" w:cs="Times New Roman"/>
                <w:color w:val="000000"/>
                <w:sz w:val="21"/>
                <w:szCs w:val="21"/>
                <w:highlight w:val="none"/>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color w:val="000000"/>
                <w:kern w:val="2"/>
                <w:sz w:val="21"/>
                <w:szCs w:val="21"/>
                <w:lang w:val="en-US" w:eastAsia="zh-CN" w:bidi="ar-SA"/>
              </w:rPr>
            </w:pPr>
            <w:r>
              <w:rPr>
                <w:rFonts w:hint="default" w:ascii="Times New Roman" w:hAnsi="Times New Roman" w:cs="Times New Roman"/>
                <w:color w:val="000000"/>
                <w:sz w:val="21"/>
                <w:szCs w:val="21"/>
                <w:highlight w:val="none"/>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rPr>
              <w:t>气相色谱仪</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密炼、开炼</w:t>
            </w:r>
            <w:r>
              <w:rPr>
                <w:rFonts w:ascii="Times New Roman" w:hAnsi="Times New Roman"/>
                <w:color w:val="000000"/>
                <w:sz w:val="21"/>
                <w:szCs w:val="21"/>
                <w:lang w:val="en-US"/>
              </w:rPr>
              <w:t>工序静电回收装置排气筒出口</w:t>
            </w:r>
            <w:r>
              <w:rPr>
                <w:rFonts w:hint="eastAsia" w:ascii="Times New Roman" w:hAnsi="Times New Roman"/>
                <w:color w:val="000000"/>
                <w:sz w:val="21"/>
                <w:szCs w:val="21"/>
                <w:lang w:val="en-US" w:eastAsia="zh-CN"/>
              </w:rPr>
              <w:t>（FQ-008）</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颗粒物</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highlight w:val="yellow"/>
                <w:lang w:val="en-US" w:eastAsia="zh-CN" w:bidi="ar-SA"/>
              </w:rPr>
            </w:pPr>
            <w:r>
              <w:rPr>
                <w:rFonts w:hint="eastAsia" w:ascii="Times New Roman" w:hAnsi="Times New Roman" w:cs="Times New Roman"/>
                <w:color w:val="000000"/>
                <w:sz w:val="21"/>
                <w:szCs w:val="21"/>
                <w:highlight w:val="none"/>
                <w:lang w:val="en-US" w:eastAsia="zh-CN"/>
              </w:rPr>
              <w:t>25米</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自动监测（安装自动监测前1次/月）</w:t>
            </w:r>
          </w:p>
        </w:tc>
        <w:tc>
          <w:tcPr>
            <w:tcW w:w="0" w:type="auto"/>
            <w:noWrap w:val="0"/>
            <w:vAlign w:val="center"/>
          </w:tcPr>
          <w:p>
            <w:pPr>
              <w:spacing w:line="240" w:lineRule="auto"/>
              <w:ind w:firstLine="0" w:firstLineChars="0"/>
              <w:jc w:val="center"/>
              <w:rPr>
                <w:rFonts w:hint="default"/>
                <w:kern w:val="2"/>
                <w:sz w:val="21"/>
                <w:szCs w:val="21"/>
                <w:highlight w:val="yellow"/>
                <w:lang w:val="en-US" w:eastAsia="zh-CN" w:bidi="ar-SA"/>
              </w:rPr>
            </w:pPr>
            <w:r>
              <w:rPr>
                <w:rFonts w:hint="eastAsia"/>
                <w:color w:val="000000"/>
                <w:sz w:val="21"/>
                <w:szCs w:val="21"/>
              </w:rPr>
              <w:t>电子分析天平</w:t>
            </w:r>
          </w:p>
        </w:tc>
        <w:tc>
          <w:tcPr>
            <w:tcW w:w="0" w:type="auto"/>
            <w:noWrap w:val="0"/>
            <w:vAlign w:val="center"/>
          </w:tcPr>
          <w:p>
            <w:pPr>
              <w:spacing w:line="240" w:lineRule="auto"/>
              <w:ind w:firstLine="0" w:firstLineChars="0"/>
              <w:rPr>
                <w:rFonts w:hint="eastAsia"/>
                <w:color w:val="000000"/>
                <w:kern w:val="2"/>
                <w:sz w:val="21"/>
                <w:szCs w:val="21"/>
                <w:highlight w:val="yellow"/>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default" w:ascii="Times New Roman" w:hAnsi="Times New Roman"/>
                <w:color w:val="000000"/>
                <w:kern w:val="0"/>
                <w:sz w:val="21"/>
                <w:szCs w:val="21"/>
                <w:highlight w:val="yellow"/>
                <w:lang w:val="zh-CN"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rPr>
                <w:rFonts w:hint="eastAsia"/>
                <w:color w:val="000000"/>
                <w:kern w:val="2"/>
                <w:sz w:val="21"/>
                <w:szCs w:val="21"/>
                <w:highlight w:val="yellow"/>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spacing w:line="240" w:lineRule="auto"/>
              <w:ind w:firstLine="0" w:firstLineChars="0"/>
              <w:jc w:val="center"/>
              <w:rPr>
                <w:rFonts w:hint="default"/>
                <w:kern w:val="2"/>
                <w:sz w:val="21"/>
                <w:szCs w:val="21"/>
                <w:highlight w:val="yellow"/>
                <w:lang w:val="zh-CN" w:eastAsia="zh-CN" w:bidi="ar-SA"/>
              </w:rPr>
            </w:pPr>
            <w:r>
              <w:rPr>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1"/>
                <w:highlight w:val="yellow"/>
                <w:lang w:val="zh-CN"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default" w:ascii="Times New Roman" w:hAnsi="Times New Roman"/>
                <w:color w:val="000000"/>
                <w:kern w:val="0"/>
                <w:sz w:val="21"/>
                <w:szCs w:val="21"/>
                <w:highlight w:val="yellow"/>
                <w:lang w:val="zh-CN"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jc w:val="center"/>
              <w:rPr>
                <w:rFonts w:hint="eastAsia"/>
                <w:kern w:val="2"/>
                <w:sz w:val="21"/>
                <w:szCs w:val="21"/>
                <w:highlight w:val="yellow"/>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spacing w:line="240" w:lineRule="auto"/>
              <w:ind w:firstLine="0" w:firstLineChars="0"/>
              <w:jc w:val="center"/>
              <w:rPr>
                <w:rFonts w:hint="default" w:ascii="Times New Roman" w:hAnsi="Times New Roman" w:cs="Times New Roman"/>
                <w:color w:val="000000"/>
                <w:kern w:val="2"/>
                <w:sz w:val="21"/>
                <w:szCs w:val="21"/>
                <w:highlight w:val="none"/>
                <w:lang w:val="en-US" w:eastAsia="zh-CN" w:bidi="ar-SA"/>
              </w:rPr>
            </w:pPr>
            <w:r>
              <w:rPr>
                <w:rFonts w:hint="eastAsia"/>
                <w:color w:val="000000"/>
                <w:sz w:val="21"/>
                <w:szCs w:val="21"/>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发泡工序处理设施</w:t>
            </w:r>
            <w:r>
              <w:rPr>
                <w:rFonts w:ascii="Times New Roman" w:hAnsi="Times New Roman"/>
                <w:color w:val="000000"/>
                <w:sz w:val="21"/>
                <w:szCs w:val="21"/>
                <w:lang w:val="en-US"/>
              </w:rPr>
              <w:t>排气筒出口</w:t>
            </w:r>
            <w:r>
              <w:rPr>
                <w:rFonts w:hint="eastAsia" w:ascii="Times New Roman" w:hAnsi="Times New Roman"/>
                <w:color w:val="000000"/>
                <w:sz w:val="21"/>
                <w:szCs w:val="21"/>
                <w:lang w:val="en-US" w:eastAsia="zh-CN"/>
              </w:rPr>
              <w:t>（FQ-006）</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颗粒物</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32米</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自动监测（安装自动监测前1次/月）</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电子分析天平</w:t>
            </w:r>
          </w:p>
        </w:tc>
        <w:tc>
          <w:tcPr>
            <w:tcW w:w="0" w:type="auto"/>
            <w:noWrap w:val="0"/>
            <w:vAlign w:val="center"/>
          </w:tcPr>
          <w:p>
            <w:pPr>
              <w:spacing w:line="240" w:lineRule="auto"/>
              <w:ind w:firstLine="0" w:firstLineChars="0"/>
              <w:rPr>
                <w:rFonts w:hint="eastAsia"/>
                <w:kern w:val="2"/>
                <w:sz w:val="21"/>
                <w:szCs w:val="21"/>
                <w:highlight w:val="yellow"/>
                <w:lang w:val="zh-CN"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ascii="Times New Roman" w:hAnsi="Times New Roman"/>
                <w:color w:val="000000"/>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eastAsia" w:ascii="Tahoma" w:hAnsi="Tahoma"/>
                <w:color w:val="000000"/>
                <w:kern w:val="0"/>
                <w:sz w:val="21"/>
                <w:szCs w:val="21"/>
                <w:lang w:val="en-US"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spacing w:line="240" w:lineRule="auto"/>
              <w:ind w:firstLine="0" w:firstLineChars="0"/>
              <w:jc w:val="center"/>
              <w:rPr>
                <w:rFonts w:hint="eastAsia" w:ascii="Times New Roman" w:hAnsi="Times New Roman" w:cs="Times New Roman"/>
                <w:color w:val="000000"/>
                <w:kern w:val="2"/>
                <w:sz w:val="21"/>
                <w:szCs w:val="21"/>
                <w:highlight w:val="none"/>
                <w:lang w:val="en-US" w:eastAsia="zh-CN" w:bidi="ar-SA"/>
              </w:rPr>
            </w:pPr>
            <w:r>
              <w:rPr>
                <w:rFonts w:hint="eastAsia"/>
                <w:color w:val="000000"/>
                <w:sz w:val="21"/>
                <w:szCs w:val="21"/>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发泡工序处理设施</w:t>
            </w:r>
            <w:r>
              <w:rPr>
                <w:rFonts w:ascii="Times New Roman" w:hAnsi="Times New Roman"/>
                <w:color w:val="000000"/>
                <w:sz w:val="21"/>
                <w:szCs w:val="21"/>
                <w:lang w:val="en-US"/>
              </w:rPr>
              <w:t>排气筒出口</w:t>
            </w:r>
            <w:r>
              <w:rPr>
                <w:rFonts w:hint="eastAsia" w:ascii="Times New Roman" w:hAnsi="Times New Roman"/>
                <w:color w:val="000000"/>
                <w:sz w:val="21"/>
                <w:szCs w:val="21"/>
                <w:lang w:val="en-US" w:eastAsia="zh-CN"/>
              </w:rPr>
              <w:t>（FQ-007）</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颗粒物</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25米</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自动监测（安装自动监测前1次/月）</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电子分析天平</w:t>
            </w:r>
          </w:p>
        </w:tc>
        <w:tc>
          <w:tcPr>
            <w:tcW w:w="0" w:type="auto"/>
            <w:noWrap w:val="0"/>
            <w:vAlign w:val="center"/>
          </w:tcPr>
          <w:p>
            <w:pPr>
              <w:spacing w:line="240" w:lineRule="auto"/>
              <w:ind w:firstLine="0" w:firstLineChars="0"/>
              <w:rPr>
                <w:rFonts w:hint="eastAsia"/>
                <w:kern w:val="2"/>
                <w:sz w:val="21"/>
                <w:szCs w:val="21"/>
                <w:highlight w:val="yellow"/>
                <w:lang w:val="zh-CN"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ascii="Times New Roman" w:hAnsi="Times New Roman"/>
                <w:color w:val="000000"/>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eastAsia" w:ascii="Tahoma" w:hAnsi="Tahoma"/>
                <w:color w:val="000000"/>
                <w:kern w:val="0"/>
                <w:sz w:val="21"/>
                <w:szCs w:val="21"/>
                <w:lang w:val="en-US"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spacing w:line="240" w:lineRule="auto"/>
              <w:ind w:firstLine="0" w:firstLineChars="0"/>
              <w:jc w:val="center"/>
              <w:rPr>
                <w:rFonts w:hint="eastAsia" w:ascii="Times New Roman" w:hAnsi="Times New Roman" w:cs="Times New Roman"/>
                <w:color w:val="000000"/>
                <w:kern w:val="2"/>
                <w:sz w:val="21"/>
                <w:szCs w:val="21"/>
                <w:highlight w:val="none"/>
                <w:lang w:val="en-US" w:eastAsia="zh-CN" w:bidi="ar-SA"/>
              </w:rPr>
            </w:pPr>
            <w:r>
              <w:rPr>
                <w:rFonts w:hint="eastAsia"/>
                <w:color w:val="000000"/>
                <w:sz w:val="21"/>
                <w:szCs w:val="21"/>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bl>
    <w:p>
      <w:pPr>
        <w:ind w:firstLine="0" w:firstLineChars="0"/>
        <w:jc w:val="center"/>
        <w:rPr>
          <w:b/>
          <w:bCs/>
        </w:rPr>
      </w:pPr>
    </w:p>
    <w:p>
      <w:pPr>
        <w:ind w:firstLine="0" w:firstLineChars="0"/>
        <w:jc w:val="center"/>
        <w:rPr>
          <w:b/>
          <w:bCs/>
        </w:rPr>
      </w:pPr>
      <w:r>
        <w:rPr>
          <w:b/>
          <w:bCs/>
        </w:rPr>
        <w:t>表2  无组织废气监测方案</w:t>
      </w:r>
    </w:p>
    <w:tbl>
      <w:tblPr>
        <w:tblStyle w:val="26"/>
        <w:tblW w:w="1431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105"/>
        <w:gridCol w:w="4241"/>
        <w:gridCol w:w="1936"/>
        <w:gridCol w:w="2018"/>
        <w:gridCol w:w="3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20"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检测点位</w:t>
            </w:r>
          </w:p>
        </w:tc>
        <w:tc>
          <w:tcPr>
            <w:tcW w:w="1105"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检测项目</w:t>
            </w:r>
          </w:p>
        </w:tc>
        <w:tc>
          <w:tcPr>
            <w:tcW w:w="4241"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检测方法</w:t>
            </w:r>
          </w:p>
        </w:tc>
        <w:tc>
          <w:tcPr>
            <w:tcW w:w="1936"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检测频次</w:t>
            </w:r>
          </w:p>
        </w:tc>
        <w:tc>
          <w:tcPr>
            <w:tcW w:w="2018"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监测仪器</w:t>
            </w:r>
          </w:p>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名称和型号</w:t>
            </w:r>
          </w:p>
        </w:tc>
        <w:tc>
          <w:tcPr>
            <w:tcW w:w="3898"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20" w:type="dxa"/>
            <w:vMerge w:val="restart"/>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rPr>
              <w:t>厂界下风向浓度最高点设</w:t>
            </w:r>
            <w:r>
              <w:rPr>
                <w:rFonts w:ascii="Times New Roman" w:hAnsi="Times New Roman"/>
                <w:color w:val="000000"/>
                <w:sz w:val="21"/>
                <w:szCs w:val="21"/>
                <w:lang w:val="en-US"/>
              </w:rPr>
              <w:t>3个检测点位</w:t>
            </w: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颗粒物</w:t>
            </w:r>
          </w:p>
        </w:tc>
        <w:tc>
          <w:tcPr>
            <w:tcW w:w="4241"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固定污染源废气 低浓度颗粒物的测定 重量法 HJ836-2017</w:t>
            </w:r>
          </w:p>
        </w:tc>
        <w:tc>
          <w:tcPr>
            <w:tcW w:w="1936" w:type="dxa"/>
            <w:noWrap w:val="0"/>
            <w:vAlign w:val="center"/>
          </w:tcPr>
          <w:p>
            <w:pPr>
              <w:pStyle w:val="3"/>
              <w:spacing w:line="240" w:lineRule="auto"/>
              <w:ind w:left="0" w:firstLine="0" w:firstLineChars="0"/>
              <w:jc w:val="center"/>
              <w:rPr>
                <w:rFonts w:hint="eastAsia"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（非连续采样4次）</w:t>
            </w:r>
          </w:p>
        </w:tc>
        <w:tc>
          <w:tcPr>
            <w:tcW w:w="2018" w:type="dxa"/>
            <w:noWrap w:val="0"/>
            <w:vAlign w:val="center"/>
          </w:tcPr>
          <w:p>
            <w:pPr>
              <w:spacing w:line="240" w:lineRule="auto"/>
              <w:ind w:firstLine="0" w:firstLineChars="0"/>
              <w:jc w:val="center"/>
              <w:rPr>
                <w:rFonts w:hint="eastAsia"/>
                <w:color w:val="FF0000"/>
                <w:sz w:val="21"/>
                <w:szCs w:val="21"/>
              </w:rPr>
            </w:pPr>
            <w:r>
              <w:rPr>
                <w:rFonts w:hint="eastAsia"/>
                <w:sz w:val="21"/>
                <w:szCs w:val="21"/>
              </w:rPr>
              <w:t>电子分析天平</w:t>
            </w:r>
          </w:p>
        </w:tc>
        <w:tc>
          <w:tcPr>
            <w:tcW w:w="3898" w:type="dxa"/>
            <w:vMerge w:val="restart"/>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sz w:val="21"/>
                <w:szCs w:val="20"/>
                <w:lang w:val="en-US"/>
              </w:rPr>
              <w:t>《合成革与人造革工业污染物排放标准》</w:t>
            </w:r>
            <w:r>
              <w:rPr>
                <w:rFonts w:hint="eastAsia"/>
                <w:sz w:val="21"/>
                <w:szCs w:val="20"/>
                <w:lang w:val="en-US"/>
              </w:rPr>
              <w:t>（</w:t>
            </w:r>
            <w:r>
              <w:rPr>
                <w:sz w:val="21"/>
                <w:szCs w:val="20"/>
                <w:lang w:val="en-US"/>
              </w:rPr>
              <w:t>GB 21902-2008</w:t>
            </w:r>
            <w:r>
              <w:rPr>
                <w:rFonts w:hint="eastAsia"/>
                <w:sz w:val="21"/>
                <w:szCs w:val="20"/>
                <w:lang w:val="en-US"/>
              </w:rPr>
              <w:t>）表6标准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苯</w:t>
            </w:r>
          </w:p>
        </w:tc>
        <w:tc>
          <w:tcPr>
            <w:tcW w:w="4241" w:type="dxa"/>
            <w:noWrap w:val="0"/>
            <w:vAlign w:val="center"/>
          </w:tcPr>
          <w:p>
            <w:pPr>
              <w:pStyle w:val="3"/>
              <w:spacing w:line="240" w:lineRule="auto"/>
              <w:ind w:left="0" w:firstLine="0" w:firstLineChars="0"/>
              <w:jc w:val="center"/>
              <w:rPr>
                <w:rFonts w:ascii="Times New Roman" w:hAnsi="Times New Roman"/>
                <w:sz w:val="21"/>
                <w:szCs w:val="21"/>
                <w:lang w:val="en-US"/>
              </w:rPr>
            </w:pPr>
            <w:r>
              <w:rPr>
                <w:rFonts w:ascii="Times New Roman" w:hAnsi="Times New Roman"/>
                <w:color w:val="000000"/>
                <w:sz w:val="21"/>
                <w:szCs w:val="21"/>
                <w:lang w:val="en-US"/>
              </w:rPr>
              <w:t>环境空气 苯系物的测定 活性炭吸附/二硫化碳解吸-气相色谱法 HJ 584-2010</w:t>
            </w:r>
          </w:p>
        </w:tc>
        <w:tc>
          <w:tcPr>
            <w:tcW w:w="1936" w:type="dxa"/>
            <w:noWrap w:val="0"/>
            <w:vAlign w:val="center"/>
          </w:tcPr>
          <w:p>
            <w:pPr>
              <w:pStyle w:val="3"/>
              <w:spacing w:line="240" w:lineRule="auto"/>
              <w:ind w:left="0" w:firstLine="0" w:firstLineChars="0"/>
              <w:jc w:val="center"/>
              <w:rPr>
                <w:rFonts w:hint="eastAsia"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气相色谱仪</w:t>
            </w:r>
          </w:p>
        </w:tc>
        <w:tc>
          <w:tcPr>
            <w:tcW w:w="3898"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rPr>
            </w:pP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甲苯</w:t>
            </w:r>
          </w:p>
        </w:tc>
        <w:tc>
          <w:tcPr>
            <w:tcW w:w="4241" w:type="dxa"/>
            <w:noWrap w:val="0"/>
            <w:vAlign w:val="center"/>
          </w:tcPr>
          <w:p>
            <w:pPr>
              <w:pStyle w:val="3"/>
              <w:spacing w:line="240" w:lineRule="auto"/>
              <w:ind w:left="0" w:firstLine="0" w:firstLineChars="0"/>
              <w:jc w:val="center"/>
              <w:rPr>
                <w:rFonts w:ascii="Times New Roman" w:hAnsi="Times New Roman"/>
                <w:sz w:val="21"/>
                <w:szCs w:val="21"/>
                <w:lang w:val="en-US"/>
              </w:rPr>
            </w:pPr>
            <w:r>
              <w:rPr>
                <w:rFonts w:ascii="Times New Roman" w:hAnsi="Times New Roman"/>
                <w:color w:val="000000"/>
                <w:sz w:val="21"/>
                <w:szCs w:val="21"/>
                <w:lang w:val="en-US"/>
              </w:rPr>
              <w:t>环境空气 苯系物的测定 活性炭吸附/二硫化碳解吸</w:t>
            </w:r>
            <w:r>
              <w:rPr>
                <w:rFonts w:hint="eastAsia" w:ascii="Times New Roman" w:hAnsi="Times New Roman"/>
                <w:color w:val="000000"/>
                <w:sz w:val="21"/>
                <w:szCs w:val="21"/>
                <w:lang w:val="en-US"/>
              </w:rPr>
              <w:t>-</w:t>
            </w:r>
            <w:r>
              <w:rPr>
                <w:rFonts w:ascii="Times New Roman" w:hAnsi="Times New Roman"/>
                <w:color w:val="000000"/>
                <w:sz w:val="21"/>
                <w:szCs w:val="21"/>
                <w:lang w:val="en-US"/>
              </w:rPr>
              <w:t>气相色谱法 HJ 584-2010</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气相色谱仪</w:t>
            </w:r>
          </w:p>
        </w:tc>
        <w:tc>
          <w:tcPr>
            <w:tcW w:w="389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sz w:val="21"/>
                <w:szCs w:val="20"/>
                <w:lang w:val="en-US"/>
              </w:rPr>
              <w:t>《工业企业挥发性有机物排放控制标准》(DB 13/2322-2016)表2标准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rPr>
            </w:pP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二甲苯</w:t>
            </w:r>
          </w:p>
        </w:tc>
        <w:tc>
          <w:tcPr>
            <w:tcW w:w="4241" w:type="dxa"/>
            <w:noWrap w:val="0"/>
            <w:vAlign w:val="center"/>
          </w:tcPr>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lang w:val="en-US"/>
              </w:rPr>
              <w:t>环境空气 苯系物的测定 活性炭吸附/二硫化碳解吸-气相色谱法 HJ 584-2010</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气相色谱仪</w:t>
            </w:r>
          </w:p>
        </w:tc>
        <w:tc>
          <w:tcPr>
            <w:tcW w:w="389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sz w:val="21"/>
                <w:szCs w:val="20"/>
                <w:lang w:val="en-US"/>
              </w:rPr>
              <w:t>《工业企业挥发性有机物排放控制标准》(DB 13/2322-2016)表2标准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rPr>
            </w:pPr>
          </w:p>
        </w:tc>
        <w:tc>
          <w:tcPr>
            <w:tcW w:w="1105"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4241"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rPr>
              <w:t>《</w:t>
            </w:r>
            <w:r>
              <w:rPr>
                <w:rFonts w:hint="eastAsia" w:ascii="Times New Roman" w:hAnsi="Times New Roman"/>
                <w:color w:val="000000"/>
                <w:sz w:val="21"/>
                <w:szCs w:val="21"/>
                <w:lang w:val="en-US"/>
              </w:rPr>
              <w:t>环境空气 总烃、甲烷和非甲烷总烃的测定 直接进样-气相色谱法》</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真空采样箱、气相色谱仪</w:t>
            </w:r>
          </w:p>
        </w:tc>
        <w:tc>
          <w:tcPr>
            <w:tcW w:w="389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sz w:val="21"/>
                <w:szCs w:val="20"/>
                <w:lang w:val="en-US"/>
              </w:rPr>
              <w:t>《工业企业挥发性有机物排放控制标准》(DB 13/2322-2016)表2标准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rPr>
            </w:pP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4241"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color w:val="000000"/>
                <w:sz w:val="21"/>
                <w:szCs w:val="21"/>
              </w:rPr>
              <w:t>恶臭的测定 三点比较式臭袋法 GB T 14675-1993</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w:t>
            </w:r>
          </w:p>
        </w:tc>
        <w:tc>
          <w:tcPr>
            <w:tcW w:w="3898" w:type="dxa"/>
            <w:noWrap w:val="0"/>
            <w:vAlign w:val="center"/>
          </w:tcPr>
          <w:p>
            <w:pPr>
              <w:pStyle w:val="3"/>
              <w:spacing w:line="240" w:lineRule="auto"/>
              <w:ind w:left="0" w:firstLine="0" w:firstLineChars="0"/>
              <w:jc w:val="center"/>
              <w:rPr>
                <w:rFonts w:hint="eastAsia"/>
                <w:sz w:val="21"/>
                <w:szCs w:val="20"/>
                <w:lang w:val="en-US"/>
              </w:rPr>
            </w:pPr>
            <w:r>
              <w:rPr>
                <w:rFonts w:hint="eastAsia"/>
                <w:sz w:val="21"/>
                <w:szCs w:val="20"/>
                <w:lang w:val="en-US"/>
              </w:rPr>
              <w:t>《恶臭污染物排放标准》（GB14554-93）表1新扩改建二级标准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noWrap w:val="0"/>
            <w:vAlign w:val="center"/>
          </w:tcPr>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rPr>
              <w:t>厂区内</w:t>
            </w:r>
          </w:p>
        </w:tc>
        <w:tc>
          <w:tcPr>
            <w:tcW w:w="1105"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4241"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rPr>
              <w:t>《</w:t>
            </w:r>
            <w:r>
              <w:rPr>
                <w:rFonts w:hint="eastAsia" w:ascii="Times New Roman" w:hAnsi="Times New Roman"/>
                <w:color w:val="000000"/>
                <w:sz w:val="21"/>
                <w:szCs w:val="21"/>
                <w:lang w:val="en-US"/>
              </w:rPr>
              <w:t>环境空气 总烃、甲烷和非甲烷总烃的测定 直接进样-气相色谱法》</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真空采样箱、气相色谱仪</w:t>
            </w:r>
          </w:p>
        </w:tc>
        <w:tc>
          <w:tcPr>
            <w:tcW w:w="389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sz w:val="21"/>
                <w:szCs w:val="20"/>
                <w:lang w:val="en-US"/>
              </w:rPr>
              <w:t>《</w:t>
            </w:r>
            <w:r>
              <w:rPr>
                <w:rFonts w:hint="eastAsia"/>
                <w:sz w:val="21"/>
                <w:szCs w:val="20"/>
                <w:lang w:val="en-US"/>
              </w:rPr>
              <w:t>挥发性有机物无组织排放控制标准</w:t>
            </w:r>
            <w:r>
              <w:rPr>
                <w:sz w:val="21"/>
                <w:szCs w:val="20"/>
                <w:lang w:val="en-US"/>
              </w:rPr>
              <w:t>》</w:t>
            </w:r>
            <w:r>
              <w:rPr>
                <w:rFonts w:hint="eastAsia"/>
                <w:sz w:val="21"/>
                <w:szCs w:val="20"/>
                <w:lang w:val="en-US"/>
              </w:rPr>
              <w:t>（G</w:t>
            </w:r>
            <w:r>
              <w:rPr>
                <w:sz w:val="21"/>
                <w:szCs w:val="20"/>
                <w:lang w:val="en-US"/>
              </w:rPr>
              <w:t>B37822-2019</w:t>
            </w:r>
            <w:r>
              <w:rPr>
                <w:rFonts w:hint="eastAsia"/>
                <w:sz w:val="21"/>
                <w:szCs w:val="20"/>
                <w:lang w:val="en-US"/>
              </w:rPr>
              <w:t>）附录A特别排放限制</w:t>
            </w:r>
          </w:p>
        </w:tc>
      </w:tr>
    </w:tbl>
    <w:p>
      <w:pPr>
        <w:ind w:firstLine="0" w:firstLineChars="0"/>
        <w:rPr>
          <w:b/>
          <w:bCs/>
          <w:color w:val="000000"/>
          <w:szCs w:val="24"/>
        </w:rPr>
      </w:pPr>
    </w:p>
    <w:p>
      <w:pPr>
        <w:ind w:firstLine="0" w:firstLineChars="0"/>
        <w:rPr>
          <w:b/>
          <w:bCs/>
          <w:color w:val="000000"/>
          <w:szCs w:val="24"/>
        </w:rPr>
      </w:pPr>
    </w:p>
    <w:p>
      <w:pPr>
        <w:ind w:firstLine="0" w:firstLineChars="0"/>
        <w:rPr>
          <w:szCs w:val="24"/>
        </w:rPr>
      </w:pPr>
      <w:r>
        <w:rPr>
          <w:b/>
          <w:bCs/>
          <w:color w:val="000000"/>
          <w:szCs w:val="24"/>
        </w:rPr>
        <w:t>2、厂界噪声监测方案</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1909"/>
        <w:gridCol w:w="1533"/>
        <w:gridCol w:w="3344"/>
        <w:gridCol w:w="2047"/>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04" w:type="pct"/>
            <w:noWrap w:val="0"/>
            <w:vAlign w:val="center"/>
          </w:tcPr>
          <w:p>
            <w:pPr>
              <w:spacing w:line="240" w:lineRule="auto"/>
              <w:ind w:firstLine="0" w:firstLineChars="0"/>
              <w:jc w:val="center"/>
              <w:rPr>
                <w:b/>
                <w:bCs/>
                <w:color w:val="000000"/>
                <w:sz w:val="21"/>
                <w:szCs w:val="21"/>
              </w:rPr>
            </w:pPr>
            <w:r>
              <w:rPr>
                <w:b/>
                <w:bCs/>
                <w:color w:val="000000"/>
                <w:sz w:val="21"/>
                <w:szCs w:val="21"/>
              </w:rPr>
              <w:t>点位布设</w:t>
            </w:r>
          </w:p>
        </w:tc>
        <w:tc>
          <w:tcPr>
            <w:tcW w:w="736" w:type="pct"/>
            <w:noWrap w:val="0"/>
            <w:vAlign w:val="center"/>
          </w:tcPr>
          <w:p>
            <w:pPr>
              <w:spacing w:line="240" w:lineRule="auto"/>
              <w:ind w:firstLine="0" w:firstLineChars="0"/>
              <w:jc w:val="center"/>
              <w:rPr>
                <w:b/>
                <w:bCs/>
                <w:color w:val="000000"/>
                <w:sz w:val="21"/>
                <w:szCs w:val="21"/>
              </w:rPr>
            </w:pPr>
            <w:r>
              <w:rPr>
                <w:b/>
                <w:bCs/>
                <w:color w:val="000000"/>
                <w:sz w:val="21"/>
                <w:szCs w:val="21"/>
              </w:rPr>
              <w:t>监测项目</w:t>
            </w:r>
          </w:p>
        </w:tc>
        <w:tc>
          <w:tcPr>
            <w:tcW w:w="591" w:type="pct"/>
            <w:noWrap w:val="0"/>
            <w:vAlign w:val="center"/>
          </w:tcPr>
          <w:p>
            <w:pPr>
              <w:spacing w:line="240" w:lineRule="auto"/>
              <w:ind w:firstLine="0" w:firstLineChars="0"/>
              <w:jc w:val="center"/>
              <w:rPr>
                <w:b/>
                <w:bCs/>
                <w:color w:val="000000"/>
                <w:sz w:val="21"/>
                <w:szCs w:val="21"/>
              </w:rPr>
            </w:pPr>
            <w:r>
              <w:rPr>
                <w:b/>
                <w:bCs/>
                <w:color w:val="000000"/>
                <w:sz w:val="21"/>
                <w:szCs w:val="21"/>
              </w:rPr>
              <w:t>监测频次</w:t>
            </w:r>
          </w:p>
        </w:tc>
        <w:tc>
          <w:tcPr>
            <w:tcW w:w="1289" w:type="pct"/>
            <w:noWrap w:val="0"/>
            <w:vAlign w:val="center"/>
          </w:tcPr>
          <w:p>
            <w:pPr>
              <w:spacing w:line="240" w:lineRule="auto"/>
              <w:ind w:firstLine="0" w:firstLineChars="0"/>
              <w:rPr>
                <w:b/>
                <w:bCs/>
                <w:color w:val="000000"/>
                <w:sz w:val="21"/>
                <w:szCs w:val="21"/>
              </w:rPr>
            </w:pPr>
            <w:r>
              <w:rPr>
                <w:b/>
                <w:bCs/>
                <w:color w:val="000000"/>
                <w:sz w:val="21"/>
                <w:szCs w:val="21"/>
              </w:rPr>
              <w:t>监测方法及依据</w:t>
            </w:r>
          </w:p>
        </w:tc>
        <w:tc>
          <w:tcPr>
            <w:tcW w:w="789" w:type="pct"/>
            <w:noWrap w:val="0"/>
            <w:vAlign w:val="center"/>
          </w:tcPr>
          <w:p>
            <w:pPr>
              <w:spacing w:line="240" w:lineRule="auto"/>
              <w:ind w:firstLine="0" w:firstLineChars="0"/>
              <w:jc w:val="center"/>
              <w:rPr>
                <w:b/>
                <w:bCs/>
                <w:color w:val="000000"/>
                <w:sz w:val="21"/>
                <w:szCs w:val="21"/>
              </w:rPr>
            </w:pPr>
            <w:r>
              <w:rPr>
                <w:b/>
                <w:bCs/>
                <w:color w:val="000000"/>
                <w:sz w:val="21"/>
                <w:szCs w:val="21"/>
              </w:rPr>
              <w:t>排放限值</w:t>
            </w:r>
          </w:p>
        </w:tc>
        <w:tc>
          <w:tcPr>
            <w:tcW w:w="789" w:type="pct"/>
            <w:noWrap w:val="0"/>
            <w:vAlign w:val="center"/>
          </w:tcPr>
          <w:p>
            <w:pPr>
              <w:spacing w:line="240" w:lineRule="auto"/>
              <w:ind w:firstLine="0" w:firstLineChars="0"/>
              <w:jc w:val="center"/>
              <w:rPr>
                <w:b/>
                <w:bCs/>
                <w:color w:val="000000"/>
                <w:sz w:val="21"/>
                <w:szCs w:val="21"/>
              </w:rPr>
            </w:pPr>
            <w:r>
              <w:rPr>
                <w:b/>
                <w:bCs/>
                <w:color w:val="000000"/>
                <w:sz w:val="21"/>
                <w:szCs w:val="21"/>
              </w:rPr>
              <w:t>仪器设备名称和型号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04" w:type="pct"/>
            <w:noWrap w:val="0"/>
            <w:vAlign w:val="center"/>
          </w:tcPr>
          <w:p>
            <w:pPr>
              <w:spacing w:line="240" w:lineRule="auto"/>
              <w:ind w:firstLine="0" w:firstLineChars="0"/>
              <w:jc w:val="center"/>
              <w:rPr>
                <w:bCs/>
                <w:color w:val="000000"/>
                <w:sz w:val="21"/>
                <w:szCs w:val="21"/>
              </w:rPr>
            </w:pPr>
            <w:r>
              <w:rPr>
                <w:bCs/>
                <w:color w:val="000000"/>
                <w:sz w:val="21"/>
                <w:szCs w:val="21"/>
              </w:rPr>
              <w:t>厂界外1m处</w:t>
            </w:r>
          </w:p>
        </w:tc>
        <w:tc>
          <w:tcPr>
            <w:tcW w:w="736" w:type="pct"/>
            <w:noWrap w:val="0"/>
            <w:vAlign w:val="center"/>
          </w:tcPr>
          <w:p>
            <w:pPr>
              <w:spacing w:line="240" w:lineRule="auto"/>
              <w:ind w:firstLine="0" w:firstLineChars="0"/>
              <w:jc w:val="center"/>
              <w:rPr>
                <w:bCs/>
                <w:color w:val="000000"/>
                <w:sz w:val="21"/>
                <w:szCs w:val="21"/>
              </w:rPr>
            </w:pPr>
            <w:r>
              <w:rPr>
                <w:sz w:val="21"/>
                <w:szCs w:val="21"/>
              </w:rPr>
              <w:t>Leq(A)</w:t>
            </w:r>
          </w:p>
        </w:tc>
        <w:tc>
          <w:tcPr>
            <w:tcW w:w="591" w:type="pct"/>
            <w:noWrap w:val="0"/>
            <w:vAlign w:val="center"/>
          </w:tcPr>
          <w:p>
            <w:pPr>
              <w:spacing w:line="240" w:lineRule="auto"/>
              <w:ind w:firstLine="0" w:firstLineChars="0"/>
              <w:jc w:val="center"/>
              <w:rPr>
                <w:bCs/>
                <w:color w:val="000000"/>
                <w:sz w:val="21"/>
                <w:szCs w:val="21"/>
              </w:rPr>
            </w:pPr>
            <w:r>
              <w:rPr>
                <w:color w:val="000000"/>
                <w:sz w:val="21"/>
                <w:szCs w:val="21"/>
              </w:rPr>
              <w:t>1次/季度</w:t>
            </w:r>
          </w:p>
        </w:tc>
        <w:tc>
          <w:tcPr>
            <w:tcW w:w="1289" w:type="pct"/>
            <w:noWrap w:val="0"/>
            <w:vAlign w:val="center"/>
          </w:tcPr>
          <w:p>
            <w:pPr>
              <w:spacing w:line="240" w:lineRule="auto"/>
              <w:ind w:firstLine="0" w:firstLineChars="0"/>
              <w:jc w:val="center"/>
              <w:rPr>
                <w:color w:val="000000"/>
                <w:sz w:val="21"/>
                <w:szCs w:val="21"/>
              </w:rPr>
            </w:pPr>
            <w:r>
              <w:rPr>
                <w:color w:val="000000"/>
                <w:sz w:val="21"/>
                <w:szCs w:val="21"/>
              </w:rPr>
              <w:t>《工业企业厂界环境噪声排放标准》</w:t>
            </w:r>
          </w:p>
          <w:p>
            <w:pPr>
              <w:spacing w:line="240" w:lineRule="auto"/>
              <w:ind w:firstLine="0" w:firstLineChars="0"/>
              <w:jc w:val="center"/>
              <w:rPr>
                <w:color w:val="000000"/>
                <w:sz w:val="21"/>
                <w:szCs w:val="21"/>
              </w:rPr>
            </w:pPr>
            <w:r>
              <w:rPr>
                <w:color w:val="000000"/>
                <w:sz w:val="21"/>
                <w:szCs w:val="21"/>
              </w:rPr>
              <w:t>GB12348-2008</w:t>
            </w:r>
          </w:p>
          <w:p>
            <w:pPr>
              <w:spacing w:line="240" w:lineRule="auto"/>
              <w:ind w:firstLine="0" w:firstLineChars="0"/>
              <w:jc w:val="center"/>
              <w:rPr>
                <w:color w:val="000000"/>
                <w:sz w:val="21"/>
                <w:szCs w:val="21"/>
              </w:rPr>
            </w:pPr>
            <w:r>
              <w:rPr>
                <w:rFonts w:hint="eastAsia"/>
                <w:color w:val="000000"/>
                <w:sz w:val="21"/>
                <w:szCs w:val="21"/>
                <w:lang w:val="en-US" w:eastAsia="zh-CN"/>
              </w:rPr>
              <w:t>2</w:t>
            </w:r>
            <w:r>
              <w:rPr>
                <w:color w:val="000000"/>
                <w:sz w:val="21"/>
                <w:szCs w:val="21"/>
              </w:rPr>
              <w:t>类</w:t>
            </w:r>
          </w:p>
        </w:tc>
        <w:tc>
          <w:tcPr>
            <w:tcW w:w="789" w:type="pct"/>
            <w:noWrap w:val="0"/>
            <w:vAlign w:val="center"/>
          </w:tcPr>
          <w:p>
            <w:pPr>
              <w:spacing w:line="240" w:lineRule="auto"/>
              <w:ind w:firstLine="0" w:firstLineChars="0"/>
              <w:jc w:val="center"/>
              <w:rPr>
                <w:rFonts w:hint="eastAsia" w:eastAsia="宋体"/>
                <w:bCs/>
                <w:color w:val="000000"/>
                <w:sz w:val="21"/>
                <w:szCs w:val="21"/>
                <w:lang w:val="en-US" w:eastAsia="zh-CN"/>
              </w:rPr>
            </w:pPr>
            <w:r>
              <w:rPr>
                <w:bCs/>
                <w:color w:val="000000"/>
                <w:sz w:val="21"/>
                <w:szCs w:val="21"/>
              </w:rPr>
              <w:t>昼间 6</w:t>
            </w:r>
            <w:r>
              <w:rPr>
                <w:rFonts w:hint="eastAsia"/>
                <w:bCs/>
                <w:color w:val="000000"/>
                <w:sz w:val="21"/>
                <w:szCs w:val="21"/>
                <w:lang w:val="en-US" w:eastAsia="zh-CN"/>
              </w:rPr>
              <w:t>0</w:t>
            </w:r>
          </w:p>
          <w:p>
            <w:pPr>
              <w:spacing w:line="240" w:lineRule="auto"/>
              <w:ind w:firstLine="0" w:firstLineChars="0"/>
              <w:jc w:val="center"/>
              <w:rPr>
                <w:rFonts w:hint="eastAsia" w:eastAsia="宋体"/>
                <w:bCs/>
                <w:color w:val="000000"/>
                <w:sz w:val="21"/>
                <w:szCs w:val="21"/>
                <w:lang w:val="en-US" w:eastAsia="zh-CN"/>
              </w:rPr>
            </w:pPr>
            <w:r>
              <w:rPr>
                <w:bCs/>
                <w:color w:val="000000"/>
                <w:sz w:val="21"/>
                <w:szCs w:val="21"/>
              </w:rPr>
              <w:t>夜间 5</w:t>
            </w:r>
            <w:r>
              <w:rPr>
                <w:rFonts w:hint="eastAsia"/>
                <w:bCs/>
                <w:color w:val="000000"/>
                <w:sz w:val="21"/>
                <w:szCs w:val="21"/>
                <w:lang w:val="en-US" w:eastAsia="zh-CN"/>
              </w:rPr>
              <w:t>0</w:t>
            </w:r>
          </w:p>
        </w:tc>
        <w:tc>
          <w:tcPr>
            <w:tcW w:w="789" w:type="pct"/>
            <w:noWrap w:val="0"/>
            <w:vAlign w:val="center"/>
          </w:tcPr>
          <w:p>
            <w:pPr>
              <w:spacing w:line="240" w:lineRule="auto"/>
              <w:ind w:firstLine="0" w:firstLineChars="0"/>
              <w:jc w:val="center"/>
              <w:rPr>
                <w:bCs/>
                <w:color w:val="000000"/>
                <w:sz w:val="21"/>
                <w:szCs w:val="21"/>
              </w:rPr>
            </w:pPr>
            <w:r>
              <w:rPr>
                <w:bCs/>
                <w:color w:val="000000"/>
                <w:sz w:val="21"/>
                <w:szCs w:val="21"/>
              </w:rPr>
              <w:t>多功能噪声分析仪AWA6228</w:t>
            </w:r>
          </w:p>
        </w:tc>
      </w:tr>
    </w:tbl>
    <w:p>
      <w:pPr>
        <w:numPr>
          <w:ilvl w:val="0"/>
          <w:numId w:val="0"/>
        </w:numPr>
        <w:spacing w:line="560" w:lineRule="exact"/>
        <w:rPr>
          <w:rFonts w:hint="eastAsia" w:eastAsia="黑体" w:cs="黑体"/>
          <w:sz w:val="32"/>
          <w:szCs w:val="32"/>
        </w:rPr>
      </w:pPr>
    </w:p>
    <w:p>
      <w:pPr>
        <w:spacing w:line="560" w:lineRule="exact"/>
      </w:pPr>
      <w:r>
        <w:rPr>
          <w:rFonts w:hint="eastAsia" w:eastAsia="黑体"/>
          <w:sz w:val="32"/>
          <w:szCs w:val="32"/>
        </w:rPr>
        <w:t>七、对职工进行的环境保护培训状况</w:t>
      </w:r>
    </w:p>
    <w:p>
      <w:pPr>
        <w:widowControl/>
        <w:jc w:val="left"/>
      </w:pP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9" w:hRule="atLeast"/>
          <w:jc w:val="center"/>
        </w:trPr>
        <w:tc>
          <w:tcPr>
            <w:tcW w:w="1330" w:type="dxa"/>
            <w:vAlign w:val="center"/>
          </w:tcPr>
          <w:p>
            <w:pPr>
              <w:spacing w:line="560" w:lineRule="exact"/>
              <w:jc w:val="center"/>
              <w:rPr>
                <w:rFonts w:eastAsia="仿宋_GB2312"/>
                <w:b/>
                <w:sz w:val="28"/>
                <w:szCs w:val="28"/>
              </w:rPr>
            </w:pPr>
            <w:r>
              <w:rPr>
                <w:rFonts w:hint="eastAsia" w:eastAsia="仿宋_GB2312"/>
                <w:b/>
                <w:sz w:val="28"/>
                <w:szCs w:val="28"/>
              </w:rPr>
              <w:t>对职工进行的环境保护培训状况</w:t>
            </w:r>
          </w:p>
        </w:tc>
        <w:tc>
          <w:tcPr>
            <w:tcW w:w="11741" w:type="dxa"/>
            <w:vAlign w:val="top"/>
          </w:tcPr>
          <w:p>
            <w:pPr>
              <w:widowControl/>
              <w:shd w:val="clear" w:color="auto" w:fill="FFFFFF"/>
              <w:spacing w:after="150" w:line="486" w:lineRule="atLeast"/>
              <w:ind w:firstLine="480"/>
              <w:rPr>
                <w:rFonts w:hint="eastAsia" w:ascii="Arial" w:hAnsi="Arial" w:cs="Arial"/>
                <w:color w:val="333333"/>
                <w:kern w:val="0"/>
                <w:sz w:val="27"/>
                <w:szCs w:val="27"/>
              </w:rPr>
            </w:pPr>
          </w:p>
          <w:p>
            <w:pPr>
              <w:widowControl/>
              <w:shd w:val="clear" w:color="auto" w:fill="FFFFFF"/>
              <w:spacing w:after="150" w:line="486" w:lineRule="atLeast"/>
              <w:ind w:firstLine="480"/>
              <w:rPr>
                <w:rFonts w:hint="eastAsia" w:ascii="Arial" w:hAnsi="Arial" w:cs="Arial"/>
                <w:color w:val="333333"/>
                <w:kern w:val="0"/>
                <w:sz w:val="27"/>
                <w:szCs w:val="27"/>
              </w:rPr>
            </w:pPr>
          </w:p>
          <w:p>
            <w:pPr>
              <w:widowControl/>
              <w:shd w:val="clear" w:color="auto" w:fill="FFFFFF"/>
              <w:spacing w:after="150" w:line="486" w:lineRule="atLeast"/>
              <w:ind w:firstLine="480"/>
              <w:jc w:val="left"/>
              <w:rPr>
                <w:rFonts w:hint="eastAsia" w:ascii="Arial" w:hAnsi="Arial" w:eastAsia="宋体" w:cs="Arial"/>
                <w:color w:val="333333"/>
                <w:kern w:val="0"/>
                <w:sz w:val="27"/>
                <w:szCs w:val="27"/>
                <w:lang w:eastAsia="zh-CN"/>
              </w:rPr>
            </w:pPr>
            <w:r>
              <w:rPr>
                <w:rFonts w:hint="eastAsia" w:ascii="Arial" w:hAnsi="Arial" w:cs="Arial"/>
                <w:color w:val="333333"/>
                <w:kern w:val="0"/>
                <w:sz w:val="27"/>
                <w:szCs w:val="27"/>
                <w:lang w:eastAsia="zh-CN"/>
              </w:rPr>
              <w:t>无</w:t>
            </w:r>
          </w:p>
        </w:tc>
      </w:tr>
    </w:tbl>
    <w:p>
      <w:pPr>
        <w:spacing w:line="560" w:lineRule="exact"/>
        <w:rPr>
          <w:rFonts w:hint="eastAsia" w:eastAsia="黑体" w:cs="黑体"/>
          <w:sz w:val="32"/>
          <w:szCs w:val="32"/>
          <w:lang w:eastAsia="zh-CN"/>
        </w:rPr>
      </w:pPr>
    </w:p>
    <w:p>
      <w:pPr>
        <w:spacing w:line="560" w:lineRule="exact"/>
        <w:rPr>
          <w:rFonts w:hint="eastAsia" w:cs="Times New Roman"/>
        </w:rPr>
      </w:pPr>
      <w:r>
        <w:rPr>
          <w:rFonts w:hint="eastAsia" w:eastAsia="黑体" w:cs="黑体"/>
          <w:sz w:val="32"/>
          <w:szCs w:val="32"/>
          <w:lang w:eastAsia="zh-CN"/>
        </w:rPr>
        <w:t>八</w:t>
      </w:r>
      <w:r>
        <w:rPr>
          <w:rFonts w:hint="eastAsia" w:eastAsia="黑体" w:cs="黑体"/>
          <w:sz w:val="32"/>
          <w:szCs w:val="32"/>
        </w:rPr>
        <w:t>、其他应当公开的环境信息</w:t>
      </w:r>
    </w:p>
    <w:p>
      <w:pPr>
        <w:widowControl/>
        <w:jc w:val="left"/>
        <w:rPr>
          <w:rFonts w:hint="eastAsia" w:cs="Times New Roman"/>
        </w:rPr>
      </w:pP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0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2411" w:type="dxa"/>
            <w:vAlign w:val="center"/>
          </w:tcPr>
          <w:p>
            <w:pPr>
              <w:spacing w:line="560" w:lineRule="exact"/>
              <w:jc w:val="center"/>
              <w:rPr>
                <w:rFonts w:hint="eastAsia" w:eastAsia="仿宋_GB2312" w:cs="Times New Roman"/>
                <w:b/>
                <w:bCs/>
                <w:sz w:val="28"/>
                <w:szCs w:val="28"/>
              </w:rPr>
            </w:pPr>
            <w:r>
              <w:rPr>
                <w:rFonts w:hint="eastAsia" w:eastAsia="仿宋_GB2312" w:cs="仿宋_GB2312"/>
                <w:b/>
                <w:bCs/>
                <w:sz w:val="28"/>
                <w:szCs w:val="28"/>
              </w:rPr>
              <w:t>其他应当公开的环境信息</w:t>
            </w:r>
          </w:p>
        </w:tc>
        <w:tc>
          <w:tcPr>
            <w:tcW w:w="10660" w:type="dxa"/>
            <w:vAlign w:val="center"/>
          </w:tcPr>
          <w:p>
            <w:pPr>
              <w:spacing w:line="560" w:lineRule="exact"/>
              <w:rPr>
                <w:rFonts w:hint="eastAsia" w:eastAsia="仿宋_GB2312" w:cs="Times New Roman"/>
                <w:sz w:val="28"/>
                <w:szCs w:val="28"/>
                <w:lang w:eastAsia="zh-CN"/>
              </w:rPr>
            </w:pPr>
            <w:r>
              <w:rPr>
                <w:rFonts w:hint="eastAsia" w:eastAsia="仿宋_GB2312" w:cs="Times New Roman"/>
                <w:sz w:val="28"/>
                <w:szCs w:val="28"/>
                <w:lang w:eastAsia="zh-CN"/>
              </w:rPr>
              <w:t>无</w:t>
            </w:r>
          </w:p>
        </w:tc>
      </w:tr>
    </w:tbl>
    <w:p>
      <w:pPr>
        <w:widowControl/>
        <w:jc w:val="left"/>
        <w:rPr>
          <w:rFonts w:hint="eastAsia" w:cs="Times New Roman"/>
        </w:rPr>
        <w:sectPr>
          <w:pgSz w:w="16838" w:h="11906" w:orient="landscape"/>
          <w:pgMar w:top="1588" w:right="2098" w:bottom="1588" w:left="1985" w:header="851" w:footer="992" w:gutter="0"/>
          <w:cols w:space="720" w:num="1"/>
          <w:docGrid w:type="lines" w:linePitch="312" w:charSpace="0"/>
        </w:sectPr>
      </w:pPr>
    </w:p>
    <w:p>
      <w:pPr>
        <w:spacing w:line="560" w:lineRule="exact"/>
        <w:ind w:firstLine="204" w:firstLineChars="64"/>
        <w:jc w:val="left"/>
        <w:rPr>
          <w:rFonts w:eastAsia="仿宋_GB2312"/>
          <w:sz w:val="32"/>
          <w:szCs w:val="32"/>
        </w:rPr>
      </w:pPr>
      <w:r>
        <w:rPr>
          <w:rFonts w:hint="eastAsia" w:eastAsia="仿宋_GB2312"/>
          <w:sz w:val="32"/>
          <w:szCs w:val="32"/>
        </w:rPr>
        <w:t>填表说明：</w:t>
      </w:r>
    </w:p>
    <w:p>
      <w:pPr>
        <w:numPr>
          <w:ilvl w:val="0"/>
          <w:numId w:val="2"/>
        </w:numPr>
        <w:spacing w:line="560" w:lineRule="exact"/>
        <w:jc w:val="left"/>
        <w:rPr>
          <w:rFonts w:eastAsia="仿宋_GB2312"/>
          <w:sz w:val="32"/>
          <w:szCs w:val="32"/>
        </w:rPr>
      </w:pPr>
      <w:r>
        <w:rPr>
          <w:rFonts w:hint="eastAsia" w:eastAsia="仿宋_GB2312"/>
          <w:sz w:val="32"/>
          <w:szCs w:val="32"/>
        </w:rPr>
        <w:t>排放口编号或名称应与排污许可证上载明的一致，排放口位置为排放口所在的经纬度，排放方式为纳管或排环境，排放浓度为最近一次监测数值，监测方式为手工或自动，排放总量为最近一次的年度实际排放总量，核定的排放总量为排污许可证上载明的核定排放总量或环评批复上允许的排放总量。</w:t>
      </w:r>
    </w:p>
    <w:p>
      <w:pPr>
        <w:numPr>
          <w:ilvl w:val="0"/>
          <w:numId w:val="2"/>
        </w:numPr>
        <w:spacing w:line="560" w:lineRule="exact"/>
        <w:jc w:val="left"/>
        <w:rPr>
          <w:rFonts w:eastAsia="仿宋_GB2312"/>
          <w:sz w:val="32"/>
          <w:szCs w:val="32"/>
        </w:rPr>
      </w:pPr>
      <w:r>
        <w:rPr>
          <w:rFonts w:hint="eastAsia" w:eastAsia="仿宋_GB2312"/>
          <w:sz w:val="32"/>
          <w:szCs w:val="32"/>
        </w:rPr>
        <w:t>污染源自动监控系统作为环境保护设施的组成部分，应在防治污染设施的建设和运行情况中予以公开，并在处理能力中填写监测指标。</w:t>
      </w:r>
    </w:p>
    <w:p>
      <w:pPr>
        <w:numPr>
          <w:ilvl w:val="0"/>
          <w:numId w:val="2"/>
        </w:numPr>
        <w:spacing w:line="560" w:lineRule="exact"/>
        <w:jc w:val="left"/>
        <w:rPr>
          <w:rFonts w:eastAsia="仿宋_GB2312"/>
          <w:sz w:val="32"/>
          <w:szCs w:val="32"/>
        </w:rPr>
      </w:pPr>
      <w:r>
        <w:rPr>
          <w:rFonts w:hint="eastAsia" w:eastAsia="仿宋_GB2312"/>
          <w:sz w:val="32"/>
          <w:szCs w:val="32"/>
        </w:rPr>
        <w:t>企业事业单位环境信息涉及国家秘密、商业秘密或者个人隐私的，依法可以不公开，法律、法规另有规定的，从其规定。</w:t>
      </w:r>
    </w:p>
    <w:p>
      <w:pPr>
        <w:rPr>
          <w:rFonts w:hint="eastAsia" w:cs="Times New Roman"/>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cs="Times New Roman"/>
      </w:rPr>
    </w:pPr>
    <w:r>
      <w:fldChar w:fldCharType="begin"/>
    </w:r>
    <w:r>
      <w:instrText xml:space="preserve">PAGE   \* MERGEFORMAT</w:instrText>
    </w:r>
    <w:r>
      <w:fldChar w:fldCharType="separate"/>
    </w:r>
    <w:r>
      <w:rPr>
        <w:rFonts w:hint="eastAsia"/>
      </w:rPr>
      <w:t>68</w:t>
    </w:r>
    <w:r>
      <w:rPr>
        <w:rFonts w:hint="eastAsia"/>
      </w:rPr>
      <w:fldChar w:fldCharType="end"/>
    </w:r>
  </w:p>
  <w:p>
    <w:pPr>
      <w:pStyle w:val="16"/>
      <w:rPr>
        <w:rFonts w:hint="eastAsia"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35E114"/>
    <w:multiLevelType w:val="singleLevel"/>
    <w:tmpl w:val="5535E114"/>
    <w:lvl w:ilvl="0" w:tentative="0">
      <w:start w:val="6"/>
      <w:numFmt w:val="chineseCounting"/>
      <w:suff w:val="nothing"/>
      <w:lvlText w:val="%1、"/>
      <w:lvlJc w:val="left"/>
      <w:rPr>
        <w:rFonts w:hint="eastAsia"/>
      </w:rPr>
    </w:lvl>
  </w:abstractNum>
  <w:abstractNum w:abstractNumId="1">
    <w:nsid w:val="567CD845"/>
    <w:multiLevelType w:val="multilevel"/>
    <w:tmpl w:val="567CD845"/>
    <w:lvl w:ilvl="0" w:tentative="0">
      <w:start w:val="1"/>
      <w:numFmt w:val="decimal"/>
      <w:lvlText w:val="%1、"/>
      <w:lvlJc w:val="left"/>
      <w:pPr>
        <w:ind w:left="925" w:hanging="720"/>
      </w:pPr>
      <w:rPr>
        <w:rFonts w:cs="Times New Roman"/>
      </w:rPr>
    </w:lvl>
    <w:lvl w:ilvl="1" w:tentative="0">
      <w:start w:val="1"/>
      <w:numFmt w:val="lowerLetter"/>
      <w:lvlText w:val="%2)"/>
      <w:lvlJc w:val="left"/>
      <w:pPr>
        <w:ind w:left="1045" w:hanging="420"/>
      </w:pPr>
      <w:rPr>
        <w:rFonts w:cs="Times New Roman"/>
      </w:rPr>
    </w:lvl>
    <w:lvl w:ilvl="2" w:tentative="0">
      <w:start w:val="1"/>
      <w:numFmt w:val="lowerRoman"/>
      <w:lvlText w:val="%3."/>
      <w:lvlJc w:val="right"/>
      <w:pPr>
        <w:ind w:left="1465" w:hanging="420"/>
      </w:pPr>
      <w:rPr>
        <w:rFonts w:cs="Times New Roman"/>
      </w:rPr>
    </w:lvl>
    <w:lvl w:ilvl="3" w:tentative="0">
      <w:start w:val="1"/>
      <w:numFmt w:val="decimal"/>
      <w:lvlText w:val="%4."/>
      <w:lvlJc w:val="left"/>
      <w:pPr>
        <w:ind w:left="1885" w:hanging="420"/>
      </w:pPr>
      <w:rPr>
        <w:rFonts w:cs="Times New Roman"/>
      </w:rPr>
    </w:lvl>
    <w:lvl w:ilvl="4" w:tentative="0">
      <w:start w:val="1"/>
      <w:numFmt w:val="lowerLetter"/>
      <w:lvlText w:val="%5)"/>
      <w:lvlJc w:val="left"/>
      <w:pPr>
        <w:ind w:left="2305" w:hanging="420"/>
      </w:pPr>
      <w:rPr>
        <w:rFonts w:cs="Times New Roman"/>
      </w:rPr>
    </w:lvl>
    <w:lvl w:ilvl="5" w:tentative="0">
      <w:start w:val="1"/>
      <w:numFmt w:val="lowerRoman"/>
      <w:lvlText w:val="%6."/>
      <w:lvlJc w:val="right"/>
      <w:pPr>
        <w:ind w:left="2725" w:hanging="420"/>
      </w:pPr>
      <w:rPr>
        <w:rFonts w:cs="Times New Roman"/>
      </w:rPr>
    </w:lvl>
    <w:lvl w:ilvl="6" w:tentative="0">
      <w:start w:val="1"/>
      <w:numFmt w:val="decimal"/>
      <w:lvlText w:val="%7."/>
      <w:lvlJc w:val="left"/>
      <w:pPr>
        <w:ind w:left="3145" w:hanging="420"/>
      </w:pPr>
      <w:rPr>
        <w:rFonts w:cs="Times New Roman"/>
      </w:rPr>
    </w:lvl>
    <w:lvl w:ilvl="7" w:tentative="0">
      <w:start w:val="1"/>
      <w:numFmt w:val="lowerLetter"/>
      <w:lvlText w:val="%8)"/>
      <w:lvlJc w:val="left"/>
      <w:pPr>
        <w:ind w:left="3565" w:hanging="420"/>
      </w:pPr>
      <w:rPr>
        <w:rFonts w:cs="Times New Roman"/>
      </w:rPr>
    </w:lvl>
    <w:lvl w:ilvl="8" w:tentative="0">
      <w:start w:val="1"/>
      <w:numFmt w:val="lowerRoman"/>
      <w:lvlText w:val="%9."/>
      <w:lvlJc w:val="right"/>
      <w:pPr>
        <w:ind w:left="3985" w:hanging="420"/>
      </w:pPr>
      <w:rPr>
        <w:rFonts w:cs="Times New Roman"/>
      </w:r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NotTrackMove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2F"/>
    <w:rsid w:val="00055E1A"/>
    <w:rsid w:val="000E0E36"/>
    <w:rsid w:val="000E39B3"/>
    <w:rsid w:val="0012565F"/>
    <w:rsid w:val="00147E36"/>
    <w:rsid w:val="00191F11"/>
    <w:rsid w:val="00196771"/>
    <w:rsid w:val="001A0FC0"/>
    <w:rsid w:val="001B4150"/>
    <w:rsid w:val="001E2949"/>
    <w:rsid w:val="001F712F"/>
    <w:rsid w:val="00201EEF"/>
    <w:rsid w:val="002210F3"/>
    <w:rsid w:val="002C03F1"/>
    <w:rsid w:val="00302ED1"/>
    <w:rsid w:val="00326742"/>
    <w:rsid w:val="00375C98"/>
    <w:rsid w:val="003932C2"/>
    <w:rsid w:val="003A4E69"/>
    <w:rsid w:val="003B77BC"/>
    <w:rsid w:val="003B7FC9"/>
    <w:rsid w:val="004262BE"/>
    <w:rsid w:val="00450459"/>
    <w:rsid w:val="004661EA"/>
    <w:rsid w:val="004C0209"/>
    <w:rsid w:val="004C237B"/>
    <w:rsid w:val="004C4CF0"/>
    <w:rsid w:val="004D49B0"/>
    <w:rsid w:val="004F7734"/>
    <w:rsid w:val="00501395"/>
    <w:rsid w:val="00506046"/>
    <w:rsid w:val="00507563"/>
    <w:rsid w:val="00530C1B"/>
    <w:rsid w:val="00544164"/>
    <w:rsid w:val="0055182B"/>
    <w:rsid w:val="00582F65"/>
    <w:rsid w:val="0059446F"/>
    <w:rsid w:val="005C0214"/>
    <w:rsid w:val="005C0EE6"/>
    <w:rsid w:val="005C2335"/>
    <w:rsid w:val="00605DEB"/>
    <w:rsid w:val="00614746"/>
    <w:rsid w:val="00653153"/>
    <w:rsid w:val="00660AD9"/>
    <w:rsid w:val="006A2772"/>
    <w:rsid w:val="006A2F19"/>
    <w:rsid w:val="006C3063"/>
    <w:rsid w:val="00715525"/>
    <w:rsid w:val="00733C12"/>
    <w:rsid w:val="00763681"/>
    <w:rsid w:val="00765F05"/>
    <w:rsid w:val="007843DF"/>
    <w:rsid w:val="00795105"/>
    <w:rsid w:val="007A185F"/>
    <w:rsid w:val="007B786F"/>
    <w:rsid w:val="007C460B"/>
    <w:rsid w:val="007D13F3"/>
    <w:rsid w:val="007F3A57"/>
    <w:rsid w:val="00801974"/>
    <w:rsid w:val="008305F6"/>
    <w:rsid w:val="00852B95"/>
    <w:rsid w:val="00876132"/>
    <w:rsid w:val="008822C4"/>
    <w:rsid w:val="00894F26"/>
    <w:rsid w:val="00896A75"/>
    <w:rsid w:val="008B3205"/>
    <w:rsid w:val="008B7E9E"/>
    <w:rsid w:val="008D7C56"/>
    <w:rsid w:val="008E05DE"/>
    <w:rsid w:val="008F0E3D"/>
    <w:rsid w:val="00915C0F"/>
    <w:rsid w:val="009200C0"/>
    <w:rsid w:val="00954C03"/>
    <w:rsid w:val="009B256E"/>
    <w:rsid w:val="009C24ED"/>
    <w:rsid w:val="009D12C1"/>
    <w:rsid w:val="009D6D49"/>
    <w:rsid w:val="00A07B30"/>
    <w:rsid w:val="00A27C3B"/>
    <w:rsid w:val="00A36094"/>
    <w:rsid w:val="00A604A8"/>
    <w:rsid w:val="00AA3AB2"/>
    <w:rsid w:val="00AA699E"/>
    <w:rsid w:val="00AC0A72"/>
    <w:rsid w:val="00AC3306"/>
    <w:rsid w:val="00AF1BAA"/>
    <w:rsid w:val="00B10B0F"/>
    <w:rsid w:val="00B27981"/>
    <w:rsid w:val="00B37F93"/>
    <w:rsid w:val="00B605BD"/>
    <w:rsid w:val="00BA0043"/>
    <w:rsid w:val="00C0578E"/>
    <w:rsid w:val="00C26B3D"/>
    <w:rsid w:val="00C3245B"/>
    <w:rsid w:val="00C33348"/>
    <w:rsid w:val="00C433D4"/>
    <w:rsid w:val="00C458A3"/>
    <w:rsid w:val="00CE2056"/>
    <w:rsid w:val="00D057BA"/>
    <w:rsid w:val="00D1784A"/>
    <w:rsid w:val="00D43F37"/>
    <w:rsid w:val="00D70772"/>
    <w:rsid w:val="00D712E4"/>
    <w:rsid w:val="00DA3D91"/>
    <w:rsid w:val="00DA6FB2"/>
    <w:rsid w:val="00DC0ABE"/>
    <w:rsid w:val="00DE6272"/>
    <w:rsid w:val="00DF3EC6"/>
    <w:rsid w:val="00E5627A"/>
    <w:rsid w:val="00E87AE1"/>
    <w:rsid w:val="00E94E13"/>
    <w:rsid w:val="00EA694E"/>
    <w:rsid w:val="00F13697"/>
    <w:rsid w:val="00F2542E"/>
    <w:rsid w:val="00F44784"/>
    <w:rsid w:val="00F61E66"/>
    <w:rsid w:val="00F6259C"/>
    <w:rsid w:val="00F74098"/>
    <w:rsid w:val="00FB0FE6"/>
    <w:rsid w:val="00FC23CC"/>
    <w:rsid w:val="00FC4116"/>
    <w:rsid w:val="010C6BAD"/>
    <w:rsid w:val="013E1821"/>
    <w:rsid w:val="02B90D8E"/>
    <w:rsid w:val="038B6C58"/>
    <w:rsid w:val="039C3CD3"/>
    <w:rsid w:val="03C10485"/>
    <w:rsid w:val="03F13EB2"/>
    <w:rsid w:val="058F5FC0"/>
    <w:rsid w:val="06357962"/>
    <w:rsid w:val="06524D89"/>
    <w:rsid w:val="06B24301"/>
    <w:rsid w:val="06B95A33"/>
    <w:rsid w:val="06DE09DF"/>
    <w:rsid w:val="072B244C"/>
    <w:rsid w:val="07805F5A"/>
    <w:rsid w:val="08002236"/>
    <w:rsid w:val="093C6FEA"/>
    <w:rsid w:val="0A2157CF"/>
    <w:rsid w:val="0AAA590F"/>
    <w:rsid w:val="0AC74AF8"/>
    <w:rsid w:val="0BDE7D6F"/>
    <w:rsid w:val="0D2E4C78"/>
    <w:rsid w:val="0D373D58"/>
    <w:rsid w:val="0D53059E"/>
    <w:rsid w:val="0D583CAD"/>
    <w:rsid w:val="0E4B790E"/>
    <w:rsid w:val="0E521A76"/>
    <w:rsid w:val="0E8C3F71"/>
    <w:rsid w:val="0F055926"/>
    <w:rsid w:val="0F8D601A"/>
    <w:rsid w:val="0FEA0B2D"/>
    <w:rsid w:val="100B7BF3"/>
    <w:rsid w:val="10461AF8"/>
    <w:rsid w:val="10D568F9"/>
    <w:rsid w:val="1105316E"/>
    <w:rsid w:val="114A7C6E"/>
    <w:rsid w:val="11C95013"/>
    <w:rsid w:val="11D222BE"/>
    <w:rsid w:val="12597751"/>
    <w:rsid w:val="12607967"/>
    <w:rsid w:val="150E16C8"/>
    <w:rsid w:val="152D1270"/>
    <w:rsid w:val="16EB44D5"/>
    <w:rsid w:val="171E7BBB"/>
    <w:rsid w:val="181E31A7"/>
    <w:rsid w:val="1927334D"/>
    <w:rsid w:val="1A027B1F"/>
    <w:rsid w:val="1A2129B3"/>
    <w:rsid w:val="1AE93B1B"/>
    <w:rsid w:val="1BBA192B"/>
    <w:rsid w:val="1BD05417"/>
    <w:rsid w:val="1D490935"/>
    <w:rsid w:val="1D9C27F9"/>
    <w:rsid w:val="1E066E89"/>
    <w:rsid w:val="1E4E64A4"/>
    <w:rsid w:val="1E5408BE"/>
    <w:rsid w:val="1E561621"/>
    <w:rsid w:val="1F6B3698"/>
    <w:rsid w:val="1F7D2247"/>
    <w:rsid w:val="1FF0628A"/>
    <w:rsid w:val="2155566D"/>
    <w:rsid w:val="216D37EA"/>
    <w:rsid w:val="21DD425A"/>
    <w:rsid w:val="23156846"/>
    <w:rsid w:val="242A1BA0"/>
    <w:rsid w:val="24520CF3"/>
    <w:rsid w:val="254D4979"/>
    <w:rsid w:val="28141610"/>
    <w:rsid w:val="28AE550B"/>
    <w:rsid w:val="29263201"/>
    <w:rsid w:val="2A4209CE"/>
    <w:rsid w:val="2A9B3790"/>
    <w:rsid w:val="2AAF4B3F"/>
    <w:rsid w:val="2BBB52C1"/>
    <w:rsid w:val="2CBA495C"/>
    <w:rsid w:val="2D0729B5"/>
    <w:rsid w:val="2D5653ED"/>
    <w:rsid w:val="2E8621DF"/>
    <w:rsid w:val="2F4910A0"/>
    <w:rsid w:val="2F7C53CF"/>
    <w:rsid w:val="2FE61DA5"/>
    <w:rsid w:val="30772EEF"/>
    <w:rsid w:val="336A0E92"/>
    <w:rsid w:val="351A1B36"/>
    <w:rsid w:val="3641657F"/>
    <w:rsid w:val="365E067E"/>
    <w:rsid w:val="37197EAF"/>
    <w:rsid w:val="37C31508"/>
    <w:rsid w:val="384F25AE"/>
    <w:rsid w:val="386D0757"/>
    <w:rsid w:val="38DC1D06"/>
    <w:rsid w:val="39767DA7"/>
    <w:rsid w:val="398B7E3D"/>
    <w:rsid w:val="3BAF56C1"/>
    <w:rsid w:val="3BB657C0"/>
    <w:rsid w:val="3BC35474"/>
    <w:rsid w:val="3C192187"/>
    <w:rsid w:val="3C916821"/>
    <w:rsid w:val="3E285F9E"/>
    <w:rsid w:val="3E28611D"/>
    <w:rsid w:val="40F9220F"/>
    <w:rsid w:val="413E3847"/>
    <w:rsid w:val="41C04ADA"/>
    <w:rsid w:val="41DD49D5"/>
    <w:rsid w:val="428A7385"/>
    <w:rsid w:val="42A133CC"/>
    <w:rsid w:val="436A4C1C"/>
    <w:rsid w:val="44124E41"/>
    <w:rsid w:val="443D433E"/>
    <w:rsid w:val="467E50CF"/>
    <w:rsid w:val="470F5079"/>
    <w:rsid w:val="47F47D36"/>
    <w:rsid w:val="48627D82"/>
    <w:rsid w:val="48A3497C"/>
    <w:rsid w:val="48DD7E23"/>
    <w:rsid w:val="493C65B5"/>
    <w:rsid w:val="49DF3234"/>
    <w:rsid w:val="4A3A12BA"/>
    <w:rsid w:val="4A762B0E"/>
    <w:rsid w:val="4AA8049B"/>
    <w:rsid w:val="4B16537F"/>
    <w:rsid w:val="4B932D29"/>
    <w:rsid w:val="4D481CEC"/>
    <w:rsid w:val="4E2F73D0"/>
    <w:rsid w:val="4E5A12D9"/>
    <w:rsid w:val="4F8322EA"/>
    <w:rsid w:val="4FB524F0"/>
    <w:rsid w:val="50790041"/>
    <w:rsid w:val="507E1AFC"/>
    <w:rsid w:val="50AE519E"/>
    <w:rsid w:val="50BD1DAA"/>
    <w:rsid w:val="50F35E25"/>
    <w:rsid w:val="51492906"/>
    <w:rsid w:val="51BF6359"/>
    <w:rsid w:val="52863B87"/>
    <w:rsid w:val="531A6557"/>
    <w:rsid w:val="53D045E4"/>
    <w:rsid w:val="5475552D"/>
    <w:rsid w:val="55BF6BFB"/>
    <w:rsid w:val="55F67B88"/>
    <w:rsid w:val="56083A20"/>
    <w:rsid w:val="57D62FF5"/>
    <w:rsid w:val="590435D7"/>
    <w:rsid w:val="594C1A6B"/>
    <w:rsid w:val="59A94644"/>
    <w:rsid w:val="59EA6123"/>
    <w:rsid w:val="5A4B23CD"/>
    <w:rsid w:val="5AAA3A4D"/>
    <w:rsid w:val="5D77458B"/>
    <w:rsid w:val="5E250C96"/>
    <w:rsid w:val="5E2E5847"/>
    <w:rsid w:val="5E6F6ED5"/>
    <w:rsid w:val="5E9C1E27"/>
    <w:rsid w:val="5FA9130F"/>
    <w:rsid w:val="600C5A71"/>
    <w:rsid w:val="60583943"/>
    <w:rsid w:val="60656DAB"/>
    <w:rsid w:val="608F51E1"/>
    <w:rsid w:val="61AC7252"/>
    <w:rsid w:val="61BF73D7"/>
    <w:rsid w:val="623601A4"/>
    <w:rsid w:val="624D1AA5"/>
    <w:rsid w:val="62865191"/>
    <w:rsid w:val="62E67CBB"/>
    <w:rsid w:val="62F47158"/>
    <w:rsid w:val="62FC213B"/>
    <w:rsid w:val="63837975"/>
    <w:rsid w:val="64A76AAF"/>
    <w:rsid w:val="64D7521C"/>
    <w:rsid w:val="6558250E"/>
    <w:rsid w:val="65816D3A"/>
    <w:rsid w:val="65D22C57"/>
    <w:rsid w:val="661C4D4C"/>
    <w:rsid w:val="679E6DD3"/>
    <w:rsid w:val="67B13757"/>
    <w:rsid w:val="687365C5"/>
    <w:rsid w:val="68887BFA"/>
    <w:rsid w:val="698B290A"/>
    <w:rsid w:val="69C51D0E"/>
    <w:rsid w:val="6A1D4C59"/>
    <w:rsid w:val="6A413706"/>
    <w:rsid w:val="6B7E2792"/>
    <w:rsid w:val="6D1B2D9B"/>
    <w:rsid w:val="6D7B2CA6"/>
    <w:rsid w:val="6DC7655A"/>
    <w:rsid w:val="6DDF674F"/>
    <w:rsid w:val="6E3E17E9"/>
    <w:rsid w:val="6E9D3662"/>
    <w:rsid w:val="6F56673C"/>
    <w:rsid w:val="700112AC"/>
    <w:rsid w:val="70CF32BE"/>
    <w:rsid w:val="70E32EDD"/>
    <w:rsid w:val="71C9367F"/>
    <w:rsid w:val="71FB5C42"/>
    <w:rsid w:val="721660FE"/>
    <w:rsid w:val="72201501"/>
    <w:rsid w:val="722C57E9"/>
    <w:rsid w:val="73F33B39"/>
    <w:rsid w:val="74EE34AF"/>
    <w:rsid w:val="75BC330E"/>
    <w:rsid w:val="77C4324D"/>
    <w:rsid w:val="78C751FA"/>
    <w:rsid w:val="78F62FD2"/>
    <w:rsid w:val="7A0E7069"/>
    <w:rsid w:val="7B0F5121"/>
    <w:rsid w:val="7B2C15BE"/>
    <w:rsid w:val="7B756C9A"/>
    <w:rsid w:val="7C8576B1"/>
    <w:rsid w:val="7D2716C3"/>
    <w:rsid w:val="7DB64066"/>
    <w:rsid w:val="7E9F6ABC"/>
    <w:rsid w:val="7FC51D2C"/>
    <w:rsid w:val="7FC8181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3"/>
    <w:qFormat/>
    <w:uiPriority w:val="99"/>
    <w:pPr>
      <w:keepNext/>
      <w:keepLines/>
      <w:spacing w:before="340" w:after="330" w:line="578" w:lineRule="auto"/>
      <w:jc w:val="center"/>
      <w:outlineLvl w:val="0"/>
    </w:pPr>
    <w:rPr>
      <w:b/>
      <w:bCs/>
      <w:kern w:val="44"/>
      <w:sz w:val="32"/>
      <w:szCs w:val="32"/>
    </w:rPr>
  </w:style>
  <w:style w:type="paragraph" w:styleId="3">
    <w:name w:val="heading 2"/>
    <w:basedOn w:val="1"/>
    <w:next w:val="1"/>
    <w:link w:val="34"/>
    <w:qFormat/>
    <w:uiPriority w:val="99"/>
    <w:pPr>
      <w:keepNext/>
      <w:keepLines/>
      <w:spacing w:before="260" w:after="260" w:line="416" w:lineRule="auto"/>
      <w:outlineLvl w:val="1"/>
    </w:pPr>
    <w:rPr>
      <w:rFonts w:ascii="Arial" w:hAnsi="Arial" w:cs="Arial"/>
      <w:b/>
      <w:bCs/>
      <w:sz w:val="28"/>
      <w:szCs w:val="28"/>
    </w:rPr>
  </w:style>
  <w:style w:type="paragraph" w:styleId="4">
    <w:name w:val="heading 3"/>
    <w:basedOn w:val="1"/>
    <w:next w:val="1"/>
    <w:link w:val="35"/>
    <w:qFormat/>
    <w:uiPriority w:val="99"/>
    <w:pPr>
      <w:keepNext/>
      <w:keepLines/>
      <w:spacing w:before="260" w:after="260" w:line="416" w:lineRule="auto"/>
      <w:outlineLvl w:val="2"/>
    </w:pPr>
    <w:rPr>
      <w:sz w:val="28"/>
      <w:szCs w:val="28"/>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qFormat/>
    <w:uiPriority w:val="99"/>
    <w:pPr>
      <w:ind w:left="1260"/>
      <w:jc w:val="left"/>
    </w:pPr>
    <w:rPr>
      <w:rFonts w:ascii="Times New Roman" w:hAnsi="Times New Roman" w:cs="Times New Roman"/>
      <w:sz w:val="18"/>
      <w:szCs w:val="18"/>
    </w:rPr>
  </w:style>
  <w:style w:type="paragraph" w:styleId="6">
    <w:name w:val="Document Map"/>
    <w:basedOn w:val="1"/>
    <w:link w:val="63"/>
    <w:semiHidden/>
    <w:qFormat/>
    <w:uiPriority w:val="99"/>
    <w:pPr>
      <w:shd w:val="clear" w:color="auto" w:fill="000080"/>
    </w:pPr>
    <w:rPr>
      <w:rFonts w:ascii="Times New Roman" w:hAnsi="Times New Roman" w:cs="Times New Roman"/>
    </w:rPr>
  </w:style>
  <w:style w:type="paragraph" w:styleId="7">
    <w:name w:val="annotation text"/>
    <w:basedOn w:val="1"/>
    <w:link w:val="60"/>
    <w:semiHidden/>
    <w:qFormat/>
    <w:uiPriority w:val="99"/>
    <w:pPr>
      <w:jc w:val="left"/>
    </w:pPr>
  </w:style>
  <w:style w:type="paragraph" w:styleId="8">
    <w:name w:val="Body Text"/>
    <w:basedOn w:val="1"/>
    <w:link w:val="58"/>
    <w:qFormat/>
    <w:uiPriority w:val="99"/>
    <w:pPr>
      <w:spacing w:after="120"/>
    </w:pPr>
  </w:style>
  <w:style w:type="paragraph" w:styleId="9">
    <w:name w:val="Body Text Indent"/>
    <w:basedOn w:val="1"/>
    <w:link w:val="57"/>
    <w:qFormat/>
    <w:uiPriority w:val="99"/>
    <w:pPr>
      <w:spacing w:after="120"/>
      <w:ind w:left="420" w:leftChars="200"/>
    </w:pPr>
    <w:rPr>
      <w:rFonts w:ascii="Times New Roman" w:hAnsi="Times New Roman" w:cs="Times New Roman"/>
    </w:rPr>
  </w:style>
  <w:style w:type="paragraph" w:styleId="10">
    <w:name w:val="toc 5"/>
    <w:basedOn w:val="1"/>
    <w:next w:val="1"/>
    <w:semiHidden/>
    <w:qFormat/>
    <w:uiPriority w:val="99"/>
    <w:pPr>
      <w:ind w:left="840"/>
      <w:jc w:val="left"/>
    </w:pPr>
    <w:rPr>
      <w:rFonts w:ascii="Times New Roman" w:hAnsi="Times New Roman" w:cs="Times New Roman"/>
      <w:sz w:val="18"/>
      <w:szCs w:val="18"/>
    </w:rPr>
  </w:style>
  <w:style w:type="paragraph" w:styleId="11">
    <w:name w:val="toc 3"/>
    <w:basedOn w:val="1"/>
    <w:next w:val="1"/>
    <w:semiHidden/>
    <w:qFormat/>
    <w:uiPriority w:val="99"/>
    <w:pPr>
      <w:tabs>
        <w:tab w:val="right" w:leader="dot" w:pos="8777"/>
      </w:tabs>
      <w:ind w:firstLine="420" w:firstLineChars="200"/>
    </w:pPr>
    <w:rPr>
      <w:rFonts w:ascii="Times New Roman" w:hAnsi="Times New Roman" w:cs="Times New Roman"/>
    </w:rPr>
  </w:style>
  <w:style w:type="paragraph" w:styleId="12">
    <w:name w:val="Plain Text"/>
    <w:basedOn w:val="1"/>
    <w:link w:val="36"/>
    <w:qFormat/>
    <w:uiPriority w:val="99"/>
    <w:pPr>
      <w:adjustRightInd w:val="0"/>
      <w:spacing w:line="312" w:lineRule="atLeast"/>
      <w:textAlignment w:val="baseline"/>
    </w:pPr>
    <w:rPr>
      <w:rFonts w:ascii="宋体" w:hAnsi="Courier New" w:cs="宋体"/>
      <w:kern w:val="0"/>
    </w:rPr>
  </w:style>
  <w:style w:type="paragraph" w:styleId="13">
    <w:name w:val="toc 8"/>
    <w:basedOn w:val="1"/>
    <w:next w:val="1"/>
    <w:semiHidden/>
    <w:qFormat/>
    <w:uiPriority w:val="99"/>
    <w:pPr>
      <w:ind w:left="1470"/>
      <w:jc w:val="left"/>
    </w:pPr>
    <w:rPr>
      <w:rFonts w:ascii="Times New Roman" w:hAnsi="Times New Roman" w:cs="Times New Roman"/>
      <w:sz w:val="18"/>
      <w:szCs w:val="18"/>
    </w:rPr>
  </w:style>
  <w:style w:type="paragraph" w:styleId="14">
    <w:name w:val="Date"/>
    <w:basedOn w:val="1"/>
    <w:next w:val="1"/>
    <w:link w:val="62"/>
    <w:qFormat/>
    <w:uiPriority w:val="99"/>
    <w:pPr>
      <w:ind w:left="100" w:leftChars="2500"/>
    </w:pPr>
    <w:rPr>
      <w:rFonts w:ascii="Times New Roman" w:hAnsi="Times New Roman" w:cs="Times New Roman"/>
    </w:rPr>
  </w:style>
  <w:style w:type="paragraph" w:styleId="15">
    <w:name w:val="Balloon Text"/>
    <w:basedOn w:val="1"/>
    <w:link w:val="37"/>
    <w:semiHidden/>
    <w:qFormat/>
    <w:uiPriority w:val="99"/>
    <w:rPr>
      <w:sz w:val="18"/>
      <w:szCs w:val="18"/>
    </w:rPr>
  </w:style>
  <w:style w:type="paragraph" w:styleId="16">
    <w:name w:val="footer"/>
    <w:basedOn w:val="1"/>
    <w:link w:val="38"/>
    <w:qFormat/>
    <w:uiPriority w:val="99"/>
    <w:pPr>
      <w:tabs>
        <w:tab w:val="center" w:pos="4153"/>
        <w:tab w:val="right" w:pos="8306"/>
      </w:tabs>
      <w:snapToGrid w:val="0"/>
      <w:jc w:val="left"/>
    </w:pPr>
    <w:rPr>
      <w:sz w:val="18"/>
      <w:szCs w:val="18"/>
    </w:rPr>
  </w:style>
  <w:style w:type="paragraph" w:styleId="17">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99"/>
    <w:pPr>
      <w:tabs>
        <w:tab w:val="right" w:leader="dot" w:pos="8777"/>
      </w:tabs>
      <w:spacing w:beforeLines="50"/>
    </w:pPr>
    <w:rPr>
      <w:rFonts w:ascii="Times New Roman" w:hAnsi="Times New Roman" w:cs="Times New Roman"/>
      <w:b/>
      <w:bCs/>
      <w:caps/>
      <w:sz w:val="24"/>
      <w:szCs w:val="24"/>
    </w:rPr>
  </w:style>
  <w:style w:type="paragraph" w:styleId="19">
    <w:name w:val="toc 4"/>
    <w:basedOn w:val="1"/>
    <w:next w:val="1"/>
    <w:semiHidden/>
    <w:qFormat/>
    <w:uiPriority w:val="99"/>
    <w:pPr>
      <w:ind w:left="630"/>
      <w:jc w:val="left"/>
    </w:pPr>
    <w:rPr>
      <w:rFonts w:ascii="Times New Roman" w:hAnsi="Times New Roman" w:cs="Times New Roman"/>
      <w:sz w:val="18"/>
      <w:szCs w:val="18"/>
    </w:rPr>
  </w:style>
  <w:style w:type="paragraph" w:styleId="20">
    <w:name w:val="toc 6"/>
    <w:basedOn w:val="1"/>
    <w:next w:val="1"/>
    <w:semiHidden/>
    <w:qFormat/>
    <w:uiPriority w:val="99"/>
    <w:pPr>
      <w:ind w:left="1050"/>
      <w:jc w:val="left"/>
    </w:pPr>
    <w:rPr>
      <w:rFonts w:ascii="Times New Roman" w:hAnsi="Times New Roman" w:cs="Times New Roman"/>
      <w:sz w:val="18"/>
      <w:szCs w:val="18"/>
    </w:rPr>
  </w:style>
  <w:style w:type="paragraph" w:styleId="21">
    <w:name w:val="toc 2"/>
    <w:basedOn w:val="1"/>
    <w:next w:val="1"/>
    <w:semiHidden/>
    <w:qFormat/>
    <w:uiPriority w:val="99"/>
    <w:pPr>
      <w:widowControl/>
      <w:tabs>
        <w:tab w:val="right" w:leader="dot" w:pos="8777"/>
      </w:tabs>
      <w:spacing w:beforeLines="20"/>
      <w:ind w:firstLine="210" w:firstLineChars="100"/>
    </w:pPr>
    <w:rPr>
      <w:rFonts w:ascii="Times New Roman" w:hAnsi="Times New Roman" w:cs="Times New Roman"/>
      <w:smallCaps/>
    </w:rPr>
  </w:style>
  <w:style w:type="paragraph" w:styleId="22">
    <w:name w:val="toc 9"/>
    <w:basedOn w:val="1"/>
    <w:next w:val="1"/>
    <w:semiHidden/>
    <w:qFormat/>
    <w:uiPriority w:val="99"/>
    <w:pPr>
      <w:ind w:left="1680"/>
      <w:jc w:val="left"/>
    </w:pPr>
    <w:rPr>
      <w:rFonts w:ascii="Times New Roman" w:hAnsi="Times New Roman" w:cs="Times New Roman"/>
      <w:sz w:val="18"/>
      <w:szCs w:val="18"/>
    </w:rPr>
  </w:style>
  <w:style w:type="paragraph" w:styleId="23">
    <w:name w:val="Normal (Web)"/>
    <w:basedOn w:val="1"/>
    <w:qFormat/>
    <w:uiPriority w:val="99"/>
    <w:pPr>
      <w:spacing w:before="100" w:beforeAutospacing="1" w:after="100" w:afterAutospacing="1"/>
      <w:jc w:val="left"/>
    </w:pPr>
    <w:rPr>
      <w:rFonts w:ascii="宋体" w:hAnsi="宋体" w:cs="宋体"/>
      <w:kern w:val="0"/>
      <w:sz w:val="24"/>
      <w:szCs w:val="24"/>
    </w:rPr>
  </w:style>
  <w:style w:type="paragraph" w:styleId="24">
    <w:name w:val="annotation subject"/>
    <w:basedOn w:val="7"/>
    <w:next w:val="7"/>
    <w:link w:val="61"/>
    <w:semiHidden/>
    <w:qFormat/>
    <w:uiPriority w:val="99"/>
    <w:rPr>
      <w:rFonts w:ascii="Times New Roman" w:hAnsi="Times New Roman" w:cs="Times New Roman"/>
      <w:b/>
      <w:bCs/>
    </w:rPr>
  </w:style>
  <w:style w:type="paragraph" w:styleId="25">
    <w:name w:val="Body Text First Indent"/>
    <w:basedOn w:val="8"/>
    <w:link w:val="59"/>
    <w:qFormat/>
    <w:uiPriority w:val="99"/>
    <w:pPr>
      <w:ind w:firstLine="420" w:firstLineChars="100"/>
    </w:pPr>
    <w:rPr>
      <w:rFonts w:ascii="Times New Roman" w:hAnsi="Times New Roman" w:cs="Times New Roman"/>
    </w:rPr>
  </w:style>
  <w:style w:type="character" w:styleId="28">
    <w:name w:val="Strong"/>
    <w:basedOn w:val="27"/>
    <w:qFormat/>
    <w:uiPriority w:val="99"/>
    <w:rPr>
      <w:b/>
      <w:bCs/>
    </w:rPr>
  </w:style>
  <w:style w:type="character" w:styleId="29">
    <w:name w:val="page number"/>
    <w:basedOn w:val="27"/>
    <w:qFormat/>
    <w:uiPriority w:val="99"/>
  </w:style>
  <w:style w:type="character" w:styleId="30">
    <w:name w:val="FollowedHyperlink"/>
    <w:basedOn w:val="27"/>
    <w:qFormat/>
    <w:uiPriority w:val="99"/>
    <w:rPr>
      <w:color w:val="800080"/>
      <w:u w:val="single"/>
    </w:rPr>
  </w:style>
  <w:style w:type="character" w:styleId="31">
    <w:name w:val="Hyperlink"/>
    <w:basedOn w:val="27"/>
    <w:qFormat/>
    <w:uiPriority w:val="99"/>
    <w:rPr>
      <w:color w:val="auto"/>
      <w:u w:val="none"/>
    </w:rPr>
  </w:style>
  <w:style w:type="character" w:styleId="32">
    <w:name w:val="annotation reference"/>
    <w:basedOn w:val="27"/>
    <w:semiHidden/>
    <w:qFormat/>
    <w:uiPriority w:val="99"/>
    <w:rPr>
      <w:sz w:val="21"/>
      <w:szCs w:val="21"/>
    </w:rPr>
  </w:style>
  <w:style w:type="character" w:customStyle="1" w:styleId="33">
    <w:name w:val="标题 1 Char"/>
    <w:basedOn w:val="27"/>
    <w:link w:val="2"/>
    <w:qFormat/>
    <w:locked/>
    <w:uiPriority w:val="99"/>
    <w:rPr>
      <w:rFonts w:ascii="Calibri" w:hAnsi="Calibri" w:eastAsia="宋体" w:cs="Calibri"/>
      <w:b/>
      <w:bCs/>
      <w:kern w:val="44"/>
      <w:sz w:val="22"/>
      <w:szCs w:val="22"/>
    </w:rPr>
  </w:style>
  <w:style w:type="character" w:customStyle="1" w:styleId="34">
    <w:name w:val="标题 2 Char"/>
    <w:basedOn w:val="27"/>
    <w:link w:val="3"/>
    <w:qFormat/>
    <w:locked/>
    <w:uiPriority w:val="99"/>
    <w:rPr>
      <w:rFonts w:ascii="Arial" w:hAnsi="Arial" w:eastAsia="宋体" w:cs="Arial"/>
      <w:b/>
      <w:bCs/>
      <w:kern w:val="2"/>
      <w:sz w:val="22"/>
      <w:szCs w:val="22"/>
    </w:rPr>
  </w:style>
  <w:style w:type="character" w:customStyle="1" w:styleId="35">
    <w:name w:val="标题 3 Char"/>
    <w:basedOn w:val="27"/>
    <w:link w:val="4"/>
    <w:semiHidden/>
    <w:qFormat/>
    <w:locked/>
    <w:uiPriority w:val="99"/>
    <w:rPr>
      <w:b/>
      <w:bCs/>
      <w:sz w:val="32"/>
      <w:szCs w:val="32"/>
    </w:rPr>
  </w:style>
  <w:style w:type="character" w:customStyle="1" w:styleId="36">
    <w:name w:val="纯文本 Char"/>
    <w:basedOn w:val="27"/>
    <w:link w:val="12"/>
    <w:qFormat/>
    <w:locked/>
    <w:uiPriority w:val="99"/>
    <w:rPr>
      <w:rFonts w:ascii="宋体" w:hAnsi="Courier New" w:eastAsia="宋体" w:cs="宋体"/>
      <w:sz w:val="21"/>
      <w:szCs w:val="21"/>
    </w:rPr>
  </w:style>
  <w:style w:type="character" w:customStyle="1" w:styleId="37">
    <w:name w:val="批注框文本 Char"/>
    <w:basedOn w:val="27"/>
    <w:link w:val="15"/>
    <w:semiHidden/>
    <w:qFormat/>
    <w:locked/>
    <w:uiPriority w:val="99"/>
    <w:rPr>
      <w:rFonts w:ascii="Calibri" w:hAnsi="Calibri" w:eastAsia="宋体" w:cs="Calibri"/>
      <w:kern w:val="2"/>
      <w:sz w:val="18"/>
      <w:szCs w:val="18"/>
    </w:rPr>
  </w:style>
  <w:style w:type="character" w:customStyle="1" w:styleId="38">
    <w:name w:val="页脚 Char"/>
    <w:basedOn w:val="27"/>
    <w:link w:val="16"/>
    <w:qFormat/>
    <w:locked/>
    <w:uiPriority w:val="99"/>
    <w:rPr>
      <w:rFonts w:ascii="Calibri" w:hAnsi="Calibri" w:eastAsia="宋体" w:cs="Calibri"/>
      <w:sz w:val="18"/>
      <w:szCs w:val="18"/>
    </w:rPr>
  </w:style>
  <w:style w:type="character" w:customStyle="1" w:styleId="39">
    <w:name w:val="页眉 Char"/>
    <w:basedOn w:val="27"/>
    <w:link w:val="17"/>
    <w:qFormat/>
    <w:locked/>
    <w:uiPriority w:val="99"/>
    <w:rPr>
      <w:rFonts w:ascii="Calibri" w:hAnsi="Calibri" w:eastAsia="宋体" w:cs="Calibri"/>
      <w:sz w:val="18"/>
      <w:szCs w:val="18"/>
    </w:rPr>
  </w:style>
  <w:style w:type="paragraph" w:customStyle="1" w:styleId="40">
    <w:name w:val="1级标题"/>
    <w:basedOn w:val="1"/>
    <w:qFormat/>
    <w:uiPriority w:val="99"/>
    <w:pPr>
      <w:spacing w:before="60" w:line="460" w:lineRule="exact"/>
      <w:outlineLvl w:val="0"/>
    </w:pPr>
    <w:rPr>
      <w:b/>
      <w:bCs/>
      <w:sz w:val="32"/>
      <w:szCs w:val="32"/>
    </w:rPr>
  </w:style>
  <w:style w:type="paragraph" w:customStyle="1" w:styleId="41">
    <w:name w:val="三级标题"/>
    <w:basedOn w:val="42"/>
    <w:qFormat/>
    <w:uiPriority w:val="99"/>
    <w:pPr>
      <w:spacing w:before="300"/>
      <w:ind w:firstLine="0" w:firstLineChars="0"/>
      <w:outlineLvl w:val="2"/>
    </w:pPr>
    <w:rPr>
      <w:b/>
      <w:bCs/>
    </w:rPr>
  </w:style>
  <w:style w:type="paragraph" w:customStyle="1" w:styleId="42">
    <w:name w:val="正文01"/>
    <w:basedOn w:val="1"/>
    <w:qFormat/>
    <w:uiPriority w:val="99"/>
    <w:pPr>
      <w:spacing w:before="60" w:line="460" w:lineRule="exact"/>
      <w:ind w:firstLine="200" w:firstLineChars="200"/>
    </w:pPr>
    <w:rPr>
      <w:sz w:val="24"/>
      <w:szCs w:val="24"/>
    </w:rPr>
  </w:style>
  <w:style w:type="paragraph" w:customStyle="1" w:styleId="43">
    <w:name w:val="样式 正文001 + Times New Roman"/>
    <w:basedOn w:val="44"/>
    <w:qFormat/>
    <w:uiPriority w:val="99"/>
    <w:pPr>
      <w:ind w:firstLine="482" w:firstLineChars="0"/>
    </w:pPr>
    <w:rPr>
      <w:rFonts w:ascii="Calibri" w:hAnsi="Calibri" w:cs="Calibri"/>
    </w:rPr>
  </w:style>
  <w:style w:type="paragraph" w:customStyle="1" w:styleId="44">
    <w:name w:val="正文001"/>
    <w:basedOn w:val="1"/>
    <w:qFormat/>
    <w:uiPriority w:val="99"/>
    <w:pPr>
      <w:spacing w:before="60" w:line="460" w:lineRule="exact"/>
      <w:ind w:firstLine="200" w:firstLineChars="200"/>
    </w:pPr>
    <w:rPr>
      <w:rFonts w:ascii="Arial" w:hAnsi="Arial" w:cs="Arial"/>
      <w:sz w:val="24"/>
      <w:szCs w:val="24"/>
    </w:rPr>
  </w:style>
  <w:style w:type="paragraph" w:customStyle="1" w:styleId="45">
    <w:name w:val="3级标题"/>
    <w:basedOn w:val="1"/>
    <w:qFormat/>
    <w:uiPriority w:val="99"/>
    <w:pPr>
      <w:spacing w:before="300" w:line="460" w:lineRule="exact"/>
      <w:outlineLvl w:val="2"/>
    </w:pPr>
    <w:rPr>
      <w:rFonts w:ascii="Arial" w:hAnsi="Arial" w:cs="Arial"/>
      <w:b/>
      <w:bCs/>
      <w:sz w:val="24"/>
      <w:szCs w:val="24"/>
    </w:rPr>
  </w:style>
  <w:style w:type="paragraph" w:customStyle="1" w:styleId="46">
    <w:name w:val="2级标题"/>
    <w:basedOn w:val="1"/>
    <w:qFormat/>
    <w:uiPriority w:val="99"/>
    <w:pPr>
      <w:spacing w:before="60" w:line="460" w:lineRule="exact"/>
      <w:outlineLvl w:val="1"/>
    </w:pPr>
    <w:rPr>
      <w:b/>
      <w:bCs/>
      <w:sz w:val="28"/>
      <w:szCs w:val="28"/>
    </w:rPr>
  </w:style>
  <w:style w:type="paragraph" w:customStyle="1" w:styleId="47">
    <w:name w:val="正文 New New New New New New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8">
    <w:name w:val="reader-word-layer reader-word-s5-7"/>
    <w:basedOn w:val="1"/>
    <w:qFormat/>
    <w:uiPriority w:val="0"/>
    <w:pPr>
      <w:widowControl/>
      <w:spacing w:beforeAutospacing="1" w:afterAutospacing="1"/>
      <w:jc w:val="left"/>
    </w:pPr>
    <w:rPr>
      <w:rFonts w:ascii="宋体" w:hAnsi="宋体" w:cs="宋体"/>
      <w:kern w:val="0"/>
      <w:sz w:val="24"/>
      <w:szCs w:val="24"/>
    </w:rPr>
  </w:style>
  <w:style w:type="paragraph" w:customStyle="1" w:styleId="49">
    <w:name w:val="reader-word-layer reader-word-s5-9"/>
    <w:basedOn w:val="1"/>
    <w:qFormat/>
    <w:uiPriority w:val="0"/>
    <w:pPr>
      <w:widowControl/>
      <w:spacing w:beforeAutospacing="1" w:afterAutospacing="1"/>
      <w:jc w:val="left"/>
    </w:pPr>
    <w:rPr>
      <w:rFonts w:ascii="宋体" w:hAnsi="宋体" w:cs="宋体"/>
      <w:kern w:val="0"/>
      <w:sz w:val="24"/>
      <w:szCs w:val="24"/>
    </w:rPr>
  </w:style>
  <w:style w:type="paragraph" w:customStyle="1" w:styleId="50">
    <w:name w:val="reader-word-layer reader-word-s5-1 reader-word-s5-10"/>
    <w:basedOn w:val="1"/>
    <w:qFormat/>
    <w:uiPriority w:val="0"/>
    <w:pPr>
      <w:widowControl/>
      <w:spacing w:beforeAutospacing="1" w:afterAutospacing="1"/>
      <w:jc w:val="left"/>
    </w:pPr>
    <w:rPr>
      <w:rFonts w:ascii="宋体" w:hAnsi="宋体" w:cs="宋体"/>
      <w:kern w:val="0"/>
      <w:sz w:val="24"/>
      <w:szCs w:val="24"/>
    </w:rPr>
  </w:style>
  <w:style w:type="character" w:customStyle="1" w:styleId="51">
    <w:name w:val="应急预案正文 Char Char"/>
    <w:basedOn w:val="27"/>
    <w:link w:val="52"/>
    <w:qFormat/>
    <w:locked/>
    <w:uiPriority w:val="99"/>
    <w:rPr>
      <w:rFonts w:hAnsi="宋体" w:eastAsia="宋体"/>
      <w:sz w:val="28"/>
      <w:szCs w:val="28"/>
    </w:rPr>
  </w:style>
  <w:style w:type="paragraph" w:customStyle="1" w:styleId="52">
    <w:name w:val="应急预案正文"/>
    <w:basedOn w:val="1"/>
    <w:link w:val="51"/>
    <w:qFormat/>
    <w:uiPriority w:val="99"/>
    <w:pPr>
      <w:spacing w:line="520" w:lineRule="exact"/>
      <w:ind w:firstLine="560" w:firstLineChars="200"/>
    </w:pPr>
    <w:rPr>
      <w:rFonts w:hAnsi="宋体"/>
      <w:kern w:val="0"/>
      <w:sz w:val="28"/>
      <w:szCs w:val="28"/>
    </w:rPr>
  </w:style>
  <w:style w:type="character" w:customStyle="1" w:styleId="53">
    <w:name w:val="text_edit editable-title"/>
    <w:basedOn w:val="27"/>
    <w:qFormat/>
    <w:uiPriority w:val="99"/>
  </w:style>
  <w:style w:type="character" w:customStyle="1" w:styleId="54">
    <w:name w:val="yqlink"/>
    <w:basedOn w:val="27"/>
    <w:qFormat/>
    <w:uiPriority w:val="99"/>
  </w:style>
  <w:style w:type="character" w:customStyle="1" w:styleId="55">
    <w:name w:val="headline-content2"/>
    <w:basedOn w:val="27"/>
    <w:qFormat/>
    <w:uiPriority w:val="99"/>
  </w:style>
  <w:style w:type="character" w:customStyle="1" w:styleId="56">
    <w:name w:val="Char Char3"/>
    <w:basedOn w:val="27"/>
    <w:qFormat/>
    <w:uiPriority w:val="99"/>
    <w:rPr>
      <w:rFonts w:ascii="Arial" w:hAnsi="Arial" w:eastAsia="黑体" w:cs="Arial"/>
      <w:b/>
      <w:bCs/>
      <w:kern w:val="2"/>
      <w:sz w:val="32"/>
      <w:szCs w:val="32"/>
      <w:lang w:val="en-US" w:eastAsia="zh-CN"/>
    </w:rPr>
  </w:style>
  <w:style w:type="character" w:customStyle="1" w:styleId="57">
    <w:name w:val="正文文本缩进 Char"/>
    <w:basedOn w:val="27"/>
    <w:link w:val="9"/>
    <w:qFormat/>
    <w:locked/>
    <w:uiPriority w:val="99"/>
    <w:rPr>
      <w:rFonts w:ascii="Times New Roman" w:hAnsi="Times New Roman" w:eastAsia="宋体" w:cs="Times New Roman"/>
      <w:kern w:val="2"/>
      <w:sz w:val="24"/>
      <w:szCs w:val="24"/>
    </w:rPr>
  </w:style>
  <w:style w:type="character" w:customStyle="1" w:styleId="58">
    <w:name w:val="正文文本 Char"/>
    <w:basedOn w:val="27"/>
    <w:link w:val="8"/>
    <w:semiHidden/>
    <w:qFormat/>
    <w:locked/>
    <w:uiPriority w:val="99"/>
    <w:rPr>
      <w:rFonts w:ascii="Calibri" w:hAnsi="Calibri" w:eastAsia="宋体" w:cs="Calibri"/>
      <w:kern w:val="2"/>
      <w:sz w:val="22"/>
      <w:szCs w:val="22"/>
    </w:rPr>
  </w:style>
  <w:style w:type="character" w:customStyle="1" w:styleId="59">
    <w:name w:val="正文首行缩进 Char"/>
    <w:basedOn w:val="58"/>
    <w:link w:val="25"/>
    <w:qFormat/>
    <w:locked/>
    <w:uiPriority w:val="99"/>
    <w:rPr>
      <w:rFonts w:ascii="Times New Roman" w:hAnsi="Times New Roman" w:cs="Times New Roman"/>
    </w:rPr>
  </w:style>
  <w:style w:type="character" w:customStyle="1" w:styleId="60">
    <w:name w:val="批注文字 Char"/>
    <w:basedOn w:val="27"/>
    <w:link w:val="7"/>
    <w:semiHidden/>
    <w:qFormat/>
    <w:locked/>
    <w:uiPriority w:val="99"/>
    <w:rPr>
      <w:rFonts w:ascii="Calibri" w:hAnsi="Calibri" w:eastAsia="宋体" w:cs="Calibri"/>
      <w:kern w:val="2"/>
      <w:sz w:val="22"/>
      <w:szCs w:val="22"/>
    </w:rPr>
  </w:style>
  <w:style w:type="character" w:customStyle="1" w:styleId="61">
    <w:name w:val="批注主题 Char"/>
    <w:basedOn w:val="60"/>
    <w:link w:val="24"/>
    <w:qFormat/>
    <w:locked/>
    <w:uiPriority w:val="99"/>
    <w:rPr>
      <w:rFonts w:ascii="Times New Roman" w:hAnsi="Times New Roman" w:cs="Times New Roman"/>
      <w:b/>
      <w:bCs/>
      <w:sz w:val="24"/>
      <w:szCs w:val="24"/>
    </w:rPr>
  </w:style>
  <w:style w:type="character" w:customStyle="1" w:styleId="62">
    <w:name w:val="日期 Char"/>
    <w:basedOn w:val="27"/>
    <w:link w:val="14"/>
    <w:qFormat/>
    <w:locked/>
    <w:uiPriority w:val="99"/>
    <w:rPr>
      <w:rFonts w:ascii="Times New Roman" w:hAnsi="Times New Roman" w:eastAsia="宋体" w:cs="Times New Roman"/>
      <w:kern w:val="2"/>
      <w:sz w:val="24"/>
      <w:szCs w:val="24"/>
    </w:rPr>
  </w:style>
  <w:style w:type="character" w:customStyle="1" w:styleId="63">
    <w:name w:val="文档结构图 Char"/>
    <w:basedOn w:val="27"/>
    <w:link w:val="6"/>
    <w:qFormat/>
    <w:locked/>
    <w:uiPriority w:val="99"/>
    <w:rPr>
      <w:rFonts w:ascii="Times New Roman" w:hAnsi="Times New Roman" w:eastAsia="宋体" w:cs="Times New Roman"/>
      <w:kern w:val="2"/>
      <w:sz w:val="24"/>
      <w:szCs w:val="24"/>
      <w:shd w:val="clear" w:color="auto" w:fill="000080"/>
    </w:rPr>
  </w:style>
  <w:style w:type="paragraph" w:customStyle="1" w:styleId="64">
    <w:name w:val="HTML Top of Form"/>
    <w:basedOn w:val="1"/>
    <w:next w:val="1"/>
    <w:link w:val="65"/>
    <w:qFormat/>
    <w:uiPriority w:val="99"/>
    <w:pPr>
      <w:widowControl/>
      <w:pBdr>
        <w:bottom w:val="single" w:color="auto" w:sz="6" w:space="1"/>
      </w:pBdr>
      <w:jc w:val="center"/>
    </w:pPr>
    <w:rPr>
      <w:rFonts w:ascii="Arial" w:hAnsi="Arial" w:cs="Arial"/>
      <w:vanish/>
      <w:kern w:val="0"/>
      <w:sz w:val="16"/>
      <w:szCs w:val="16"/>
    </w:rPr>
  </w:style>
  <w:style w:type="character" w:customStyle="1" w:styleId="65">
    <w:name w:val="z-窗体顶端 Char"/>
    <w:basedOn w:val="27"/>
    <w:link w:val="64"/>
    <w:qFormat/>
    <w:locked/>
    <w:uiPriority w:val="99"/>
    <w:rPr>
      <w:rFonts w:ascii="Arial" w:hAnsi="Arial" w:eastAsia="宋体" w:cs="Arial"/>
      <w:vanish/>
      <w:sz w:val="16"/>
      <w:szCs w:val="16"/>
    </w:rPr>
  </w:style>
  <w:style w:type="paragraph" w:customStyle="1" w:styleId="66">
    <w:name w:val="HTML Bottom of Form"/>
    <w:basedOn w:val="1"/>
    <w:next w:val="1"/>
    <w:link w:val="67"/>
    <w:qFormat/>
    <w:uiPriority w:val="99"/>
    <w:pPr>
      <w:widowControl/>
      <w:pBdr>
        <w:top w:val="single" w:color="auto" w:sz="6" w:space="1"/>
      </w:pBdr>
      <w:jc w:val="center"/>
    </w:pPr>
    <w:rPr>
      <w:rFonts w:ascii="Arial" w:hAnsi="Arial" w:cs="Arial"/>
      <w:vanish/>
      <w:kern w:val="0"/>
      <w:sz w:val="16"/>
      <w:szCs w:val="16"/>
    </w:rPr>
  </w:style>
  <w:style w:type="character" w:customStyle="1" w:styleId="67">
    <w:name w:val="z-窗体底端 Char"/>
    <w:basedOn w:val="27"/>
    <w:link w:val="66"/>
    <w:qFormat/>
    <w:locked/>
    <w:uiPriority w:val="99"/>
    <w:rPr>
      <w:rFonts w:ascii="Arial" w:hAnsi="Arial" w:eastAsia="宋体" w:cs="Arial"/>
      <w:vanish/>
      <w:sz w:val="16"/>
      <w:szCs w:val="16"/>
    </w:rPr>
  </w:style>
  <w:style w:type="paragraph" w:customStyle="1" w:styleId="68">
    <w:name w:val="style15"/>
    <w:basedOn w:val="1"/>
    <w:qFormat/>
    <w:uiPriority w:val="99"/>
    <w:pPr>
      <w:widowControl/>
      <w:spacing w:before="100" w:beforeAutospacing="1" w:after="100" w:afterAutospacing="1"/>
      <w:jc w:val="left"/>
    </w:pPr>
    <w:rPr>
      <w:rFonts w:ascii="宋体" w:hAnsi="宋体" w:cs="宋体"/>
      <w:color w:val="CC6601"/>
      <w:kern w:val="0"/>
    </w:rPr>
  </w:style>
  <w:style w:type="paragraph" w:customStyle="1" w:styleId="69">
    <w:name w:val="样式3"/>
    <w:basedOn w:val="4"/>
    <w:next w:val="1"/>
    <w:qFormat/>
    <w:uiPriority w:val="99"/>
    <w:pPr>
      <w:spacing w:after="0" w:line="520" w:lineRule="exact"/>
    </w:pPr>
    <w:rPr>
      <w:rFonts w:ascii="Times New Roman" w:hAnsi="Times New Roman" w:cs="Times New Roman"/>
      <w:b/>
      <w:bCs/>
      <w:sz w:val="30"/>
      <w:szCs w:val="30"/>
    </w:rPr>
  </w:style>
  <w:style w:type="paragraph" w:customStyle="1" w:styleId="70">
    <w:name w:val="样式2"/>
    <w:basedOn w:val="16"/>
    <w:qFormat/>
    <w:uiPriority w:val="99"/>
    <w:pPr>
      <w:ind w:right="360"/>
    </w:pPr>
    <w:rPr>
      <w:rFonts w:ascii="仿宋_GB2312" w:hAnsi="Times New Roman" w:eastAsia="仿宋_GB2312" w:cs="仿宋_GB2312"/>
      <w:sz w:val="21"/>
      <w:szCs w:val="21"/>
    </w:rPr>
  </w:style>
  <w:style w:type="paragraph" w:customStyle="1" w:styleId="71">
    <w:name w:val="无划线页眉"/>
    <w:basedOn w:val="17"/>
    <w:qFormat/>
    <w:uiPriority w:val="99"/>
    <w:pPr>
      <w:pBdr>
        <w:bottom w:val="none" w:color="auto" w:sz="0" w:space="0"/>
      </w:pBdr>
      <w:jc w:val="both"/>
    </w:pPr>
    <w:rPr>
      <w:rFonts w:ascii="仿宋_GB2312" w:hAnsi="Times New Roman" w:eastAsia="仿宋_GB2312" w:cs="仿宋_GB2312"/>
      <w:sz w:val="21"/>
      <w:szCs w:val="21"/>
    </w:rPr>
  </w:style>
  <w:style w:type="paragraph" w:customStyle="1" w:styleId="72">
    <w:name w:val="应急预案三级标题"/>
    <w:basedOn w:val="4"/>
    <w:qFormat/>
    <w:uiPriority w:val="99"/>
    <w:pPr>
      <w:ind w:firstLine="148" w:firstLineChars="49"/>
    </w:pPr>
    <w:rPr>
      <w:rFonts w:ascii="仿宋_GB2312" w:hAnsi="仿宋_GB2312" w:eastAsia="仿宋_GB2312" w:cs="仿宋_GB2312"/>
      <w:b/>
      <w:bCs/>
      <w:sz w:val="30"/>
      <w:szCs w:val="30"/>
    </w:rPr>
  </w:style>
  <w:style w:type="paragraph" w:customStyle="1" w:styleId="73">
    <w:name w:val="Char Char Char Char"/>
    <w:basedOn w:val="1"/>
    <w:qFormat/>
    <w:uiPriority w:val="99"/>
    <w:rPr>
      <w:rFonts w:ascii="Times New Roman" w:hAnsi="Times New Roman" w:cs="Times New Roman"/>
    </w:rPr>
  </w:style>
  <w:style w:type="paragraph" w:customStyle="1" w:styleId="74">
    <w:name w:val="无划线页脚"/>
    <w:basedOn w:val="16"/>
    <w:qFormat/>
    <w:uiPriority w:val="99"/>
    <w:rPr>
      <w:rFonts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69</Pages>
  <Words>3631</Words>
  <Characters>20697</Characters>
  <Lines>172</Lines>
  <Paragraphs>48</Paragraphs>
  <TotalTime>3</TotalTime>
  <ScaleCrop>false</ScaleCrop>
  <LinksUpToDate>false</LinksUpToDate>
  <CharactersWithSpaces>24280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2015-06-11T02:08:00Z</dcterms:created>
  <dc:creator>周密</dc:creator>
  <cp:lastModifiedBy>superman </cp:lastModifiedBy>
  <cp:lastPrinted>2015-12-24T03:11:00Z</cp:lastPrinted>
  <dcterms:modified xsi:type="dcterms:W3CDTF">2021-11-05T03:07:45Z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7736826F40DE4545876331BCEB4CC488</vt:lpwstr>
  </property>
</Properties>
</file>