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eastAsia="zh-CN"/>
        </w:rPr>
      </w:pPr>
      <w:bookmarkStart w:id="0" w:name="_GoBack"/>
      <w:r>
        <w:rPr>
          <w:rFonts w:hint="eastAsia"/>
          <w:b/>
          <w:bCs/>
          <w:sz w:val="44"/>
          <w:szCs w:val="44"/>
          <w:lang w:val="en-US" w:eastAsia="zh-CN"/>
        </w:rPr>
        <w:t>白沟新城2022年第一、二季度成品油抽检报告</w:t>
      </w:r>
    </w:p>
    <w:bookmarkEnd w:id="0"/>
    <w:tbl>
      <w:tblPr>
        <w:tblStyle w:val="3"/>
        <w:tblpPr w:leftFromText="180" w:rightFromText="180" w:vertAnchor="page" w:horzAnchor="page" w:tblpX="952" w:tblpY="2893"/>
        <w:tblOverlap w:val="never"/>
        <w:tblW w:w="10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26"/>
        <w:gridCol w:w="1635"/>
        <w:gridCol w:w="1159"/>
        <w:gridCol w:w="1181"/>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7"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526"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加油站名称</w:t>
            </w:r>
          </w:p>
        </w:tc>
        <w:tc>
          <w:tcPr>
            <w:tcW w:w="1635"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联系电话</w:t>
            </w:r>
          </w:p>
        </w:tc>
        <w:tc>
          <w:tcPr>
            <w:tcW w:w="1159"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负责人</w:t>
            </w:r>
          </w:p>
        </w:tc>
        <w:tc>
          <w:tcPr>
            <w:tcW w:w="1181"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抽检日期</w:t>
            </w:r>
          </w:p>
        </w:tc>
        <w:tc>
          <w:tcPr>
            <w:tcW w:w="3435"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中国石油天然气股份有限公司河北保定销售分公司第一百二十加油站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13463203130</w:t>
            </w:r>
          </w:p>
        </w:tc>
        <w:tc>
          <w:tcPr>
            <w:tcW w:w="115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2"/>
                <w:sz w:val="16"/>
                <w:szCs w:val="16"/>
                <w:u w:val="none"/>
                <w:lang w:val="en-US" w:eastAsia="zh-CN" w:bidi="ar-SA"/>
              </w:rPr>
            </w:pPr>
            <w:r>
              <w:rPr>
                <w:rFonts w:hint="eastAsia"/>
                <w:color w:val="auto"/>
                <w:vertAlign w:val="baseline"/>
                <w:lang w:val="en-US" w:eastAsia="zh-CN"/>
              </w:rPr>
              <w:t>孙佳尤</w:t>
            </w:r>
          </w:p>
        </w:tc>
        <w:tc>
          <w:tcPr>
            <w:tcW w:w="1181" w:type="dxa"/>
            <w:vMerge w:val="restart"/>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0#柴油：FQF2KZTM0120288R2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车用尿素：FQF2KZTM0120498R2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保定白沟新城和源加油站（普通合伙）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13803276579</w:t>
            </w:r>
          </w:p>
        </w:tc>
        <w:tc>
          <w:tcPr>
            <w:tcW w:w="11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周占国</w:t>
            </w:r>
          </w:p>
        </w:tc>
        <w:tc>
          <w:tcPr>
            <w:tcW w:w="1181"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2022.04.06</w:t>
            </w:r>
          </w:p>
        </w:tc>
        <w:tc>
          <w:tcPr>
            <w:tcW w:w="343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92#乙醇汽油：FQF2KZTM0120258R2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lang w:val="en-US" w:eastAsia="zh-CN"/>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95#乙醇汽油：FQF2KZTM0120268R2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0#柴油：FQF2KZTM0120278R2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高碑店市顺达加油站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13703120551</w:t>
            </w:r>
          </w:p>
        </w:tc>
        <w:tc>
          <w:tcPr>
            <w:tcW w:w="1159" w:type="dxa"/>
            <w:vMerge w:val="restart"/>
            <w:vAlign w:val="center"/>
          </w:tcPr>
          <w:p>
            <w:pPr>
              <w:jc w:val="center"/>
              <w:rPr>
                <w:color w:val="auto"/>
                <w:vertAlign w:val="baseline"/>
              </w:rPr>
            </w:pPr>
            <w:r>
              <w:rPr>
                <w:rFonts w:hint="eastAsia"/>
                <w:color w:val="auto"/>
                <w:vertAlign w:val="baseline"/>
                <w:lang w:val="en-US" w:eastAsia="zh-CN"/>
              </w:rPr>
              <w:t>周占国</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lang w:val="en-US"/>
              </w:rPr>
            </w:pPr>
            <w:r>
              <w:rPr>
                <w:rFonts w:hint="eastAsia"/>
                <w:color w:val="auto"/>
                <w:vertAlign w:val="baseline"/>
                <w:lang w:val="en-US" w:eastAsia="zh-CN"/>
              </w:rPr>
              <w:t>92#乙醇汽油：FQF2KZTM0120228R2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lang w:val="en-US" w:eastAsia="zh-CN"/>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95#乙醇汽油：FQF2KZTM0120238R2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0#柴油：FQF2KZTM0120248R2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保定白沟新城中通加油站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13831268392</w:t>
            </w:r>
          </w:p>
        </w:tc>
        <w:tc>
          <w:tcPr>
            <w:tcW w:w="1159" w:type="dxa"/>
            <w:vMerge w:val="restart"/>
            <w:vAlign w:val="center"/>
          </w:tcPr>
          <w:p>
            <w:pPr>
              <w:jc w:val="center"/>
              <w:rPr>
                <w:color w:val="auto"/>
                <w:vertAlign w:val="baseline"/>
              </w:rPr>
            </w:pPr>
            <w:r>
              <w:rPr>
                <w:rFonts w:hint="eastAsia"/>
                <w:color w:val="auto"/>
                <w:vertAlign w:val="baseline"/>
              </w:rPr>
              <w:t>周红玲</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92#乙醇汽油：FQF2KZTM0120458R2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95#乙醇汽油：FQF2KZTM0120468R2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0#柴油：FQF2KZTM0120478R2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7" w:type="dxa"/>
            <w:vMerge w:val="continue"/>
            <w:vAlign w:val="center"/>
          </w:tcPr>
          <w:p>
            <w:pPr>
              <w:jc w:val="center"/>
              <w:rPr>
                <w:color w:val="auto"/>
                <w:vertAlign w:val="baseline"/>
              </w:rPr>
            </w:pPr>
          </w:p>
        </w:tc>
        <w:tc>
          <w:tcPr>
            <w:tcW w:w="2526" w:type="dxa"/>
            <w:vMerge w:val="continue"/>
            <w:vAlign w:val="center"/>
          </w:tcPr>
          <w:p>
            <w:pPr>
              <w:jc w:val="center"/>
              <w:rPr>
                <w:color w:val="auto"/>
                <w:vertAlign w:val="baseline"/>
              </w:rPr>
            </w:pPr>
          </w:p>
        </w:tc>
        <w:tc>
          <w:tcPr>
            <w:tcW w:w="1635" w:type="dxa"/>
            <w:vMerge w:val="continue"/>
            <w:vAlign w:val="center"/>
          </w:tcPr>
          <w:p>
            <w:pPr>
              <w:jc w:val="center"/>
              <w:rPr>
                <w:color w:val="auto"/>
                <w:vertAlign w:val="baseline"/>
              </w:rPr>
            </w:pPr>
          </w:p>
        </w:tc>
        <w:tc>
          <w:tcPr>
            <w:tcW w:w="1159" w:type="dxa"/>
            <w:vMerge w:val="continue"/>
            <w:vAlign w:val="center"/>
          </w:tcPr>
          <w:p>
            <w:pPr>
              <w:jc w:val="center"/>
              <w:rPr>
                <w:color w:val="auto"/>
                <w:vertAlign w:val="baseline"/>
              </w:rPr>
            </w:pPr>
          </w:p>
        </w:tc>
        <w:tc>
          <w:tcPr>
            <w:tcW w:w="1181" w:type="dxa"/>
            <w:vMerge w:val="continue"/>
            <w:vAlign w:val="center"/>
          </w:tcPr>
          <w:p>
            <w:pPr>
              <w:jc w:val="center"/>
              <w:rPr>
                <w:color w:val="auto"/>
                <w:vertAlign w:val="baseline"/>
              </w:rPr>
            </w:pPr>
          </w:p>
        </w:tc>
        <w:tc>
          <w:tcPr>
            <w:tcW w:w="3435" w:type="dxa"/>
            <w:vAlign w:val="center"/>
          </w:tcPr>
          <w:p>
            <w:pPr>
              <w:jc w:val="both"/>
              <w:rPr>
                <w:color w:val="auto"/>
                <w:vertAlign w:val="baseline"/>
              </w:rPr>
            </w:pPr>
            <w:r>
              <w:rPr>
                <w:rFonts w:hint="eastAsia"/>
                <w:color w:val="auto"/>
                <w:vertAlign w:val="baseline"/>
                <w:lang w:val="en-US" w:eastAsia="zh-CN"/>
              </w:rPr>
              <w:t>车用尿素：FQF2KZTM0120488R2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7"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2526"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高碑店市大平加油站</w:t>
            </w:r>
          </w:p>
        </w:tc>
        <w:tc>
          <w:tcPr>
            <w:tcW w:w="1635" w:type="dxa"/>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13333025555</w:t>
            </w:r>
          </w:p>
        </w:tc>
        <w:tc>
          <w:tcPr>
            <w:tcW w:w="1159" w:type="dxa"/>
            <w:vAlign w:val="center"/>
          </w:tcPr>
          <w:p>
            <w:pPr>
              <w:jc w:val="center"/>
              <w:rPr>
                <w:rFonts w:hint="eastAsia" w:eastAsiaTheme="minorEastAsia"/>
                <w:color w:val="auto"/>
                <w:vertAlign w:val="baseline"/>
                <w:lang w:val="en-US" w:eastAsia="zh-CN"/>
              </w:rPr>
            </w:pPr>
            <w:r>
              <w:rPr>
                <w:rFonts w:hint="eastAsia"/>
                <w:color w:val="auto"/>
              </w:rPr>
              <w:t>王涛</w:t>
            </w:r>
          </w:p>
        </w:tc>
        <w:tc>
          <w:tcPr>
            <w:tcW w:w="1181" w:type="dxa"/>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0#柴油：FQF2KZTM0120308R2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7"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6</w:t>
            </w:r>
          </w:p>
        </w:tc>
        <w:tc>
          <w:tcPr>
            <w:tcW w:w="2526"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保定市白洋淀温泉城大平加油站保定白沟新城第一分站</w:t>
            </w:r>
          </w:p>
        </w:tc>
        <w:tc>
          <w:tcPr>
            <w:tcW w:w="1635" w:type="dxa"/>
            <w:vAlign w:val="center"/>
          </w:tcPr>
          <w:p>
            <w:pPr>
              <w:jc w:val="center"/>
              <w:rPr>
                <w:color w:val="auto"/>
                <w:sz w:val="24"/>
                <w:szCs w:val="24"/>
                <w:vertAlign w:val="baseline"/>
              </w:rPr>
            </w:pPr>
            <w:r>
              <w:rPr>
                <w:rFonts w:hint="eastAsia"/>
                <w:color w:val="auto"/>
                <w:sz w:val="24"/>
                <w:szCs w:val="24"/>
                <w:vertAlign w:val="baseline"/>
                <w:lang w:val="en-US" w:eastAsia="zh-CN"/>
              </w:rPr>
              <w:t>13333025555</w:t>
            </w:r>
          </w:p>
        </w:tc>
        <w:tc>
          <w:tcPr>
            <w:tcW w:w="1159" w:type="dxa"/>
            <w:vAlign w:val="center"/>
          </w:tcPr>
          <w:p>
            <w:pPr>
              <w:jc w:val="center"/>
              <w:rPr>
                <w:color w:val="auto"/>
                <w:vertAlign w:val="baseline"/>
              </w:rPr>
            </w:pPr>
            <w:r>
              <w:rPr>
                <w:rFonts w:hint="eastAsia"/>
                <w:color w:val="auto"/>
              </w:rPr>
              <w:t>王涛</w:t>
            </w:r>
          </w:p>
        </w:tc>
        <w:tc>
          <w:tcPr>
            <w:tcW w:w="1181" w:type="dxa"/>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0#柴油：FQF2KZTM0120298R2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7</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高碑店市天盈加油站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13932222885</w:t>
            </w:r>
          </w:p>
        </w:tc>
        <w:tc>
          <w:tcPr>
            <w:tcW w:w="11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李志强</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rFonts w:hint="default"/>
                <w:color w:val="auto"/>
                <w:vertAlign w:val="baseline"/>
                <w:lang w:val="en-US"/>
              </w:rPr>
            </w:pPr>
            <w:r>
              <w:rPr>
                <w:rFonts w:hint="eastAsia"/>
                <w:color w:val="auto"/>
                <w:vertAlign w:val="baseline"/>
                <w:lang w:val="en-US" w:eastAsia="zh-CN"/>
              </w:rPr>
              <w:t>92#乙醇汽油：FQF2KZTM0120318R2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lang w:val="en-US" w:eastAsia="zh-CN"/>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default"/>
                <w:color w:val="auto"/>
                <w:vertAlign w:val="baseline"/>
                <w:lang w:val="en-US" w:eastAsia="zh-CN"/>
              </w:rPr>
            </w:pPr>
            <w:r>
              <w:rPr>
                <w:rFonts w:hint="eastAsia"/>
                <w:color w:val="auto"/>
                <w:vertAlign w:val="baseline"/>
                <w:lang w:val="en-US" w:eastAsia="zh-CN"/>
              </w:rPr>
              <w:t>95#乙醇汽油：FQF2KZTM0120328R2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-10#柴油：FQF2KZTM0120338R2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8</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高碑店白沟长城加油站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15128283636</w:t>
            </w:r>
          </w:p>
        </w:tc>
        <w:tc>
          <w:tcPr>
            <w:tcW w:w="11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刘艳军</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92#乙醇汽油：FQF2KZTM0120348R2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95#乙醇汽油：FQF2KZTM0120358R2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7" w:type="dxa"/>
            <w:vMerge w:val="continue"/>
            <w:vAlign w:val="center"/>
          </w:tcPr>
          <w:p>
            <w:pPr>
              <w:jc w:val="center"/>
              <w:rPr>
                <w:color w:val="auto"/>
                <w:vertAlign w:val="baseline"/>
              </w:rPr>
            </w:pPr>
          </w:p>
        </w:tc>
        <w:tc>
          <w:tcPr>
            <w:tcW w:w="2526" w:type="dxa"/>
            <w:vMerge w:val="continue"/>
            <w:vAlign w:val="center"/>
          </w:tcPr>
          <w:p>
            <w:pPr>
              <w:jc w:val="center"/>
              <w:rPr>
                <w:color w:val="auto"/>
                <w:vertAlign w:val="baseline"/>
              </w:rPr>
            </w:pPr>
          </w:p>
        </w:tc>
        <w:tc>
          <w:tcPr>
            <w:tcW w:w="1635" w:type="dxa"/>
            <w:vMerge w:val="continue"/>
            <w:vAlign w:val="center"/>
          </w:tcPr>
          <w:p>
            <w:pPr>
              <w:jc w:val="center"/>
              <w:rPr>
                <w:color w:val="auto"/>
                <w:vertAlign w:val="baseline"/>
              </w:rPr>
            </w:pPr>
          </w:p>
        </w:tc>
        <w:tc>
          <w:tcPr>
            <w:tcW w:w="1159" w:type="dxa"/>
            <w:vMerge w:val="continue"/>
            <w:vAlign w:val="center"/>
          </w:tcPr>
          <w:p>
            <w:pPr>
              <w:jc w:val="center"/>
              <w:rPr>
                <w:color w:val="auto"/>
                <w:vertAlign w:val="baseline"/>
              </w:rPr>
            </w:pPr>
          </w:p>
        </w:tc>
        <w:tc>
          <w:tcPr>
            <w:tcW w:w="1181" w:type="dxa"/>
            <w:vMerge w:val="continue"/>
            <w:vAlign w:val="center"/>
          </w:tcPr>
          <w:p>
            <w:pPr>
              <w:jc w:val="center"/>
              <w:rPr>
                <w:color w:val="auto"/>
                <w:vertAlign w:val="baseline"/>
              </w:rPr>
            </w:pPr>
          </w:p>
        </w:tc>
        <w:tc>
          <w:tcPr>
            <w:tcW w:w="343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0#柴油：FQF2KZTM0120368R2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9</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保定白沟新城铭磊加油站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13633322293</w:t>
            </w:r>
          </w:p>
        </w:tc>
        <w:tc>
          <w:tcPr>
            <w:tcW w:w="11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朱磊</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92#乙醇汽油：FQF2KZTM0120378R2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lang w:val="en-US" w:eastAsia="zh-CN"/>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95#乙醇汽油：FQF2KZTM0120388R2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0#柴油：FQF2KZTM0120398R2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7" w:type="dxa"/>
            <w:vMerge w:val="continue"/>
            <w:vAlign w:val="center"/>
          </w:tcPr>
          <w:p>
            <w:pPr>
              <w:jc w:val="center"/>
              <w:rPr>
                <w:color w:val="auto"/>
                <w:vertAlign w:val="baseline"/>
              </w:rPr>
            </w:pPr>
          </w:p>
        </w:tc>
        <w:tc>
          <w:tcPr>
            <w:tcW w:w="2526" w:type="dxa"/>
            <w:vMerge w:val="continue"/>
            <w:vAlign w:val="center"/>
          </w:tcPr>
          <w:p>
            <w:pPr>
              <w:jc w:val="center"/>
              <w:rPr>
                <w:color w:val="auto"/>
                <w:vertAlign w:val="baseline"/>
              </w:rPr>
            </w:pPr>
          </w:p>
        </w:tc>
        <w:tc>
          <w:tcPr>
            <w:tcW w:w="1635" w:type="dxa"/>
            <w:vMerge w:val="continue"/>
            <w:vAlign w:val="center"/>
          </w:tcPr>
          <w:p>
            <w:pPr>
              <w:jc w:val="center"/>
              <w:rPr>
                <w:color w:val="auto"/>
                <w:vertAlign w:val="baseline"/>
              </w:rPr>
            </w:pPr>
          </w:p>
        </w:tc>
        <w:tc>
          <w:tcPr>
            <w:tcW w:w="1159" w:type="dxa"/>
            <w:vMerge w:val="continue"/>
            <w:vAlign w:val="center"/>
          </w:tcPr>
          <w:p>
            <w:pPr>
              <w:jc w:val="center"/>
              <w:rPr>
                <w:color w:val="auto"/>
                <w:vertAlign w:val="baseline"/>
              </w:rPr>
            </w:pPr>
          </w:p>
        </w:tc>
        <w:tc>
          <w:tcPr>
            <w:tcW w:w="1181" w:type="dxa"/>
            <w:vMerge w:val="continue"/>
            <w:vAlign w:val="center"/>
          </w:tcPr>
          <w:p>
            <w:pPr>
              <w:jc w:val="center"/>
              <w:rPr>
                <w:color w:val="auto"/>
                <w:vertAlign w:val="baseline"/>
              </w:rPr>
            </w:pPr>
          </w:p>
        </w:tc>
        <w:tc>
          <w:tcPr>
            <w:tcW w:w="3435" w:type="dxa"/>
            <w:vAlign w:val="center"/>
          </w:tcPr>
          <w:p>
            <w:pPr>
              <w:jc w:val="both"/>
              <w:rPr>
                <w:color w:val="auto"/>
                <w:vertAlign w:val="baseline"/>
              </w:rPr>
            </w:pPr>
            <w:r>
              <w:rPr>
                <w:rFonts w:hint="eastAsia"/>
                <w:color w:val="auto"/>
                <w:vertAlign w:val="baseline"/>
                <w:lang w:val="en-US" w:eastAsia="zh-CN"/>
              </w:rPr>
              <w:t>车用尿素：FQF2KZTM0120408R2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10</w:t>
            </w:r>
          </w:p>
        </w:tc>
        <w:tc>
          <w:tcPr>
            <w:tcW w:w="2526"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高碑店燕港加油站</w:t>
            </w:r>
          </w:p>
        </w:tc>
        <w:tc>
          <w:tcPr>
            <w:tcW w:w="1635" w:type="dxa"/>
            <w:vMerge w:val="restart"/>
            <w:vAlign w:val="center"/>
          </w:tcPr>
          <w:p>
            <w:pPr>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13603285266</w:t>
            </w:r>
          </w:p>
        </w:tc>
        <w:tc>
          <w:tcPr>
            <w:tcW w:w="1159" w:type="dxa"/>
            <w:vMerge w:val="restart"/>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兴凯</w:t>
            </w:r>
          </w:p>
        </w:tc>
        <w:tc>
          <w:tcPr>
            <w:tcW w:w="1181" w:type="dxa"/>
            <w:vMerge w:val="restart"/>
            <w:vAlign w:val="center"/>
          </w:tcPr>
          <w:p>
            <w:pPr>
              <w:jc w:val="center"/>
              <w:rPr>
                <w:color w:val="auto"/>
                <w:vertAlign w:val="baseline"/>
              </w:rPr>
            </w:pPr>
            <w:r>
              <w:rPr>
                <w:rFonts w:hint="eastAsia"/>
                <w:color w:val="auto"/>
                <w:vertAlign w:val="baseline"/>
                <w:lang w:val="en-US" w:eastAsia="zh-CN"/>
              </w:rPr>
              <w:t>2022.04.06</w:t>
            </w:r>
          </w:p>
        </w:tc>
        <w:tc>
          <w:tcPr>
            <w:tcW w:w="3435" w:type="dxa"/>
            <w:vAlign w:val="center"/>
          </w:tcPr>
          <w:p>
            <w:pPr>
              <w:jc w:val="both"/>
              <w:rPr>
                <w:color w:val="auto"/>
                <w:vertAlign w:val="baseline"/>
              </w:rPr>
            </w:pPr>
            <w:r>
              <w:rPr>
                <w:rFonts w:hint="eastAsia"/>
                <w:color w:val="auto"/>
                <w:vertAlign w:val="baseline"/>
                <w:lang w:val="en-US" w:eastAsia="zh-CN"/>
              </w:rPr>
              <w:t>92#乙醇汽油：FQF2KZTM0120418R2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Merge w:val="continue"/>
            <w:vAlign w:val="center"/>
          </w:tcPr>
          <w:p>
            <w:pPr>
              <w:jc w:val="center"/>
              <w:rPr>
                <w:rFonts w:hint="eastAsia"/>
                <w:color w:val="auto"/>
                <w:vertAlign w:val="baseline"/>
                <w:lang w:val="en-US" w:eastAsia="zh-CN"/>
              </w:rPr>
            </w:pPr>
          </w:p>
        </w:tc>
        <w:tc>
          <w:tcPr>
            <w:tcW w:w="2526" w:type="dxa"/>
            <w:vMerge w:val="continue"/>
            <w:vAlign w:val="center"/>
          </w:tcPr>
          <w:p>
            <w:pPr>
              <w:jc w:val="center"/>
              <w:rPr>
                <w:rFonts w:hint="eastAsia"/>
                <w:color w:val="auto"/>
                <w:vertAlign w:val="baseline"/>
                <w:lang w:val="en-US" w:eastAsia="zh-CN"/>
              </w:rPr>
            </w:pPr>
          </w:p>
        </w:tc>
        <w:tc>
          <w:tcPr>
            <w:tcW w:w="1635" w:type="dxa"/>
            <w:vMerge w:val="continue"/>
            <w:vAlign w:val="center"/>
          </w:tcPr>
          <w:p>
            <w:pPr>
              <w:jc w:val="center"/>
              <w:rPr>
                <w:rFonts w:hint="eastAsia"/>
                <w:color w:val="auto"/>
                <w:sz w:val="24"/>
                <w:szCs w:val="24"/>
                <w:vertAlign w:val="baseline"/>
                <w:lang w:val="en-US" w:eastAsia="zh-CN"/>
              </w:rPr>
            </w:pPr>
          </w:p>
        </w:tc>
        <w:tc>
          <w:tcPr>
            <w:tcW w:w="1159" w:type="dxa"/>
            <w:vMerge w:val="continue"/>
            <w:vAlign w:val="center"/>
          </w:tcPr>
          <w:p>
            <w:pPr>
              <w:jc w:val="center"/>
              <w:rPr>
                <w:rFonts w:hint="eastAsia"/>
                <w:color w:val="auto"/>
                <w:vertAlign w:val="baseline"/>
                <w:lang w:val="en-US" w:eastAsia="zh-CN"/>
              </w:rPr>
            </w:pPr>
          </w:p>
        </w:tc>
        <w:tc>
          <w:tcPr>
            <w:tcW w:w="1181" w:type="dxa"/>
            <w:vMerge w:val="continue"/>
            <w:vAlign w:val="center"/>
          </w:tcPr>
          <w:p>
            <w:pPr>
              <w:jc w:val="center"/>
              <w:rPr>
                <w:rFonts w:hint="eastAsia"/>
                <w:color w:val="auto"/>
                <w:vertAlign w:val="baseline"/>
                <w:lang w:val="en-US" w:eastAsia="zh-CN"/>
              </w:rPr>
            </w:pPr>
          </w:p>
        </w:tc>
        <w:tc>
          <w:tcPr>
            <w:tcW w:w="3435" w:type="dxa"/>
            <w:vAlign w:val="center"/>
          </w:tcPr>
          <w:p>
            <w:pPr>
              <w:jc w:val="both"/>
              <w:rPr>
                <w:rFonts w:hint="eastAsia"/>
                <w:color w:val="auto"/>
                <w:vertAlign w:val="baseline"/>
                <w:lang w:val="en-US" w:eastAsia="zh-CN"/>
              </w:rPr>
            </w:pPr>
            <w:r>
              <w:rPr>
                <w:rFonts w:hint="eastAsia"/>
                <w:color w:val="auto"/>
                <w:vertAlign w:val="baseline"/>
                <w:lang w:val="en-US" w:eastAsia="zh-CN"/>
              </w:rPr>
              <w:t>95#乙醇汽油：FQF2KZTM0120428R2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Merge w:val="continue"/>
            <w:vAlign w:val="center"/>
          </w:tcPr>
          <w:p>
            <w:pPr>
              <w:jc w:val="center"/>
              <w:rPr>
                <w:color w:val="auto"/>
              </w:rPr>
            </w:pPr>
          </w:p>
        </w:tc>
        <w:tc>
          <w:tcPr>
            <w:tcW w:w="2526" w:type="dxa"/>
            <w:vMerge w:val="continue"/>
            <w:vAlign w:val="center"/>
          </w:tcPr>
          <w:p>
            <w:pPr>
              <w:jc w:val="center"/>
              <w:rPr>
                <w:color w:val="auto"/>
              </w:rPr>
            </w:pPr>
          </w:p>
        </w:tc>
        <w:tc>
          <w:tcPr>
            <w:tcW w:w="1635" w:type="dxa"/>
            <w:vMerge w:val="continue"/>
            <w:vAlign w:val="center"/>
          </w:tcPr>
          <w:p>
            <w:pPr>
              <w:jc w:val="center"/>
              <w:rPr>
                <w:color w:val="auto"/>
              </w:rPr>
            </w:pPr>
          </w:p>
        </w:tc>
        <w:tc>
          <w:tcPr>
            <w:tcW w:w="1159" w:type="dxa"/>
            <w:vMerge w:val="continue"/>
            <w:vAlign w:val="center"/>
          </w:tcPr>
          <w:p>
            <w:pPr>
              <w:jc w:val="center"/>
              <w:rPr>
                <w:color w:val="auto"/>
              </w:rPr>
            </w:pPr>
          </w:p>
        </w:tc>
        <w:tc>
          <w:tcPr>
            <w:tcW w:w="1181" w:type="dxa"/>
            <w:vMerge w:val="continue"/>
            <w:vAlign w:val="center"/>
          </w:tcPr>
          <w:p>
            <w:pPr>
              <w:jc w:val="center"/>
              <w:rPr>
                <w:color w:val="auto"/>
              </w:rPr>
            </w:pPr>
          </w:p>
        </w:tc>
        <w:tc>
          <w:tcPr>
            <w:tcW w:w="3435" w:type="dxa"/>
            <w:vAlign w:val="center"/>
          </w:tcPr>
          <w:p>
            <w:pPr>
              <w:jc w:val="both"/>
              <w:rPr>
                <w:color w:val="auto"/>
                <w:vertAlign w:val="baseline"/>
              </w:rPr>
            </w:pPr>
            <w:r>
              <w:rPr>
                <w:rFonts w:hint="eastAsia"/>
                <w:color w:val="auto"/>
                <w:vertAlign w:val="baseline"/>
                <w:lang w:val="en-US" w:eastAsia="zh-CN"/>
              </w:rPr>
              <w:t>0#柴油：FQF2KZTM0120438R2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Merge w:val="continue"/>
            <w:vAlign w:val="center"/>
          </w:tcPr>
          <w:p>
            <w:pPr>
              <w:jc w:val="center"/>
              <w:rPr>
                <w:color w:val="auto"/>
                <w:vertAlign w:val="baseline"/>
              </w:rPr>
            </w:pPr>
          </w:p>
        </w:tc>
        <w:tc>
          <w:tcPr>
            <w:tcW w:w="2526" w:type="dxa"/>
            <w:vMerge w:val="continue"/>
            <w:vAlign w:val="center"/>
          </w:tcPr>
          <w:p>
            <w:pPr>
              <w:jc w:val="center"/>
              <w:rPr>
                <w:color w:val="auto"/>
                <w:vertAlign w:val="baseline"/>
              </w:rPr>
            </w:pPr>
          </w:p>
        </w:tc>
        <w:tc>
          <w:tcPr>
            <w:tcW w:w="1635" w:type="dxa"/>
            <w:vMerge w:val="continue"/>
            <w:vAlign w:val="center"/>
          </w:tcPr>
          <w:p>
            <w:pPr>
              <w:jc w:val="center"/>
              <w:rPr>
                <w:color w:val="auto"/>
                <w:vertAlign w:val="baseline"/>
              </w:rPr>
            </w:pPr>
          </w:p>
        </w:tc>
        <w:tc>
          <w:tcPr>
            <w:tcW w:w="1159" w:type="dxa"/>
            <w:vMerge w:val="continue"/>
            <w:vAlign w:val="center"/>
          </w:tcPr>
          <w:p>
            <w:pPr>
              <w:jc w:val="center"/>
              <w:rPr>
                <w:color w:val="auto"/>
                <w:vertAlign w:val="baseline"/>
              </w:rPr>
            </w:pPr>
          </w:p>
        </w:tc>
        <w:tc>
          <w:tcPr>
            <w:tcW w:w="1181" w:type="dxa"/>
            <w:vMerge w:val="continue"/>
            <w:vAlign w:val="center"/>
          </w:tcPr>
          <w:p>
            <w:pPr>
              <w:jc w:val="center"/>
              <w:rPr>
                <w:color w:val="auto"/>
                <w:vertAlign w:val="baseline"/>
              </w:rPr>
            </w:pPr>
          </w:p>
        </w:tc>
        <w:tc>
          <w:tcPr>
            <w:tcW w:w="3435" w:type="dxa"/>
            <w:vAlign w:val="center"/>
          </w:tcPr>
          <w:p>
            <w:pPr>
              <w:jc w:val="both"/>
              <w:rPr>
                <w:rFonts w:hint="eastAsia" w:eastAsiaTheme="minorEastAsia"/>
                <w:color w:val="auto"/>
                <w:vertAlign w:val="baseline"/>
                <w:lang w:val="en-US" w:eastAsia="zh-CN"/>
              </w:rPr>
            </w:pPr>
            <w:r>
              <w:rPr>
                <w:rFonts w:hint="eastAsia"/>
                <w:color w:val="auto"/>
                <w:vertAlign w:val="baseline"/>
                <w:lang w:val="en-US" w:eastAsia="zh-CN"/>
              </w:rPr>
              <w:t>车用尿素：FQF2KZTM0120448R2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13" w:type="dxa"/>
            <w:gridSpan w:val="6"/>
            <w:vAlign w:val="center"/>
          </w:tcPr>
          <w:p>
            <w:pPr>
              <w:numPr>
                <w:ilvl w:val="0"/>
                <w:numId w:val="0"/>
              </w:numPr>
              <w:jc w:val="center"/>
              <w:rPr>
                <w:color w:val="auto"/>
                <w:vertAlign w:val="baseline"/>
              </w:rPr>
            </w:pPr>
            <w:r>
              <w:rPr>
                <w:rFonts w:hint="eastAsia"/>
                <w:color w:val="auto"/>
                <w:sz w:val="24"/>
                <w:szCs w:val="24"/>
                <w:vertAlign w:val="baseline"/>
                <w:lang w:val="en-US" w:eastAsia="zh-CN"/>
              </w:rPr>
              <w:t>第一、二季度共抽检乙醇汽油92#、95#各7个批次，柴油0# 9个批次，-10# 1个批次，车用尿素4个批次，抽检结果全部合格。</w:t>
            </w:r>
          </w:p>
        </w:tc>
      </w:tr>
    </w:tbl>
    <w:p>
      <w:pPr>
        <w:jc w:val="both"/>
        <w:rPr>
          <w:rFonts w:hint="default"/>
          <w:color w:val="auto"/>
          <w:sz w:val="24"/>
          <w:szCs w:val="24"/>
          <w:lang w:val="en-US" w:eastAsia="zh-CN"/>
        </w:rPr>
      </w:pPr>
    </w:p>
    <w:sectPr>
      <w:pgSz w:w="11906" w:h="16838"/>
      <w:pgMar w:top="2098"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0482"/>
    <w:rsid w:val="03020C9C"/>
    <w:rsid w:val="08183446"/>
    <w:rsid w:val="0B5E55B3"/>
    <w:rsid w:val="2ECF1429"/>
    <w:rsid w:val="40985384"/>
    <w:rsid w:val="43CC177F"/>
    <w:rsid w:val="4594630B"/>
    <w:rsid w:val="4870382A"/>
    <w:rsid w:val="4AB322A2"/>
    <w:rsid w:val="4D5C2645"/>
    <w:rsid w:val="591E6F5F"/>
    <w:rsid w:val="5A221FCB"/>
    <w:rsid w:val="5B0A4AD4"/>
    <w:rsid w:val="5C01410B"/>
    <w:rsid w:val="6EB75C81"/>
    <w:rsid w:val="70E5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463</Words>
  <Characters>1153</Characters>
  <Lines>0</Lines>
  <Paragraphs>0</Paragraphs>
  <TotalTime>18</TotalTime>
  <ScaleCrop>false</ScaleCrop>
  <LinksUpToDate>false</LinksUpToDate>
  <CharactersWithSpaces>1155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qzuser</cp:lastModifiedBy>
  <dcterms:modified xsi:type="dcterms:W3CDTF">2022-04-15T02:56:50Z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0AAFB310EF6B4DE08051746951E68279</vt:lpwstr>
  </property>
</Properties>
</file>