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白沟新城2022年第三季度成品油抽检报告</w:t>
      </w:r>
    </w:p>
    <w:tbl>
      <w:tblPr>
        <w:tblStyle w:val="3"/>
        <w:tblpPr w:leftFromText="180" w:rightFromText="180" w:vertAnchor="page" w:horzAnchor="page" w:tblpXSpec="center" w:tblpY="2893"/>
        <w:tblOverlap w:val="never"/>
        <w:tblW w:w="15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421"/>
        <w:gridCol w:w="1890"/>
        <w:gridCol w:w="1335"/>
        <w:gridCol w:w="1680"/>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9"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5421"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加油站名称</w:t>
            </w:r>
          </w:p>
        </w:tc>
        <w:tc>
          <w:tcPr>
            <w:tcW w:w="1890"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联系电话</w:t>
            </w:r>
          </w:p>
        </w:tc>
        <w:tc>
          <w:tcPr>
            <w:tcW w:w="1335"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负责人</w:t>
            </w:r>
          </w:p>
        </w:tc>
        <w:tc>
          <w:tcPr>
            <w:tcW w:w="1680"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抽检日期</w:t>
            </w:r>
          </w:p>
        </w:tc>
        <w:tc>
          <w:tcPr>
            <w:tcW w:w="4185"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5421"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中国石油天然气股份有限公司河北保定销售分公司第一百二十加油站</w:t>
            </w:r>
          </w:p>
        </w:tc>
        <w:tc>
          <w:tcPr>
            <w:tcW w:w="1890" w:type="dxa"/>
            <w:vMerge w:val="restart"/>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18931268063</w:t>
            </w:r>
          </w:p>
        </w:tc>
        <w:tc>
          <w:tcPr>
            <w:tcW w:w="1335"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color w:val="auto"/>
                <w:vertAlign w:val="baseline"/>
                <w:lang w:val="en-US" w:eastAsia="zh-CN"/>
              </w:rPr>
              <w:t>孙佳尤</w:t>
            </w:r>
          </w:p>
        </w:tc>
        <w:tc>
          <w:tcPr>
            <w:tcW w:w="1680"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2022.08.02</w:t>
            </w:r>
          </w:p>
        </w:tc>
        <w:tc>
          <w:tcPr>
            <w:tcW w:w="4185" w:type="dxa"/>
            <w:vAlign w:val="center"/>
          </w:tcPr>
          <w:p>
            <w:pPr>
              <w:jc w:val="both"/>
              <w:rPr>
                <w:rFonts w:hint="default"/>
                <w:color w:val="auto"/>
                <w:vertAlign w:val="baseline"/>
                <w:lang w:val="en-US"/>
              </w:rPr>
            </w:pPr>
            <w:r>
              <w:rPr>
                <w:rFonts w:hint="eastAsia"/>
                <w:color w:val="auto"/>
                <w:vertAlign w:val="baseline"/>
                <w:lang w:val="en-US" w:eastAsia="zh-CN"/>
              </w:rPr>
              <w:t>92#乙醇汽油：ZQ-BG/NE10-202208A003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9" w:type="dxa"/>
            <w:vMerge w:val="continue"/>
            <w:vAlign w:val="center"/>
          </w:tcPr>
          <w:p>
            <w:pPr>
              <w:jc w:val="center"/>
              <w:rPr>
                <w:color w:val="auto"/>
              </w:rPr>
            </w:pPr>
          </w:p>
        </w:tc>
        <w:tc>
          <w:tcPr>
            <w:tcW w:w="5421" w:type="dxa"/>
            <w:vMerge w:val="continue"/>
            <w:vAlign w:val="center"/>
          </w:tcPr>
          <w:p>
            <w:pPr>
              <w:jc w:val="center"/>
              <w:rPr>
                <w:color w:val="auto"/>
              </w:rPr>
            </w:pPr>
          </w:p>
        </w:tc>
        <w:tc>
          <w:tcPr>
            <w:tcW w:w="1890" w:type="dxa"/>
            <w:vMerge w:val="continue"/>
            <w:vAlign w:val="center"/>
          </w:tcPr>
          <w:p>
            <w:pPr>
              <w:jc w:val="center"/>
              <w:rPr>
                <w:color w:val="auto"/>
              </w:rPr>
            </w:pPr>
          </w:p>
        </w:tc>
        <w:tc>
          <w:tcPr>
            <w:tcW w:w="1335" w:type="dxa"/>
            <w:vMerge w:val="continue"/>
            <w:vAlign w:val="center"/>
          </w:tcPr>
          <w:p>
            <w:pPr>
              <w:jc w:val="center"/>
              <w:rPr>
                <w:color w:val="auto"/>
              </w:rPr>
            </w:pPr>
          </w:p>
        </w:tc>
        <w:tc>
          <w:tcPr>
            <w:tcW w:w="1680" w:type="dxa"/>
            <w:vMerge w:val="continue"/>
            <w:vAlign w:val="center"/>
          </w:tcPr>
          <w:p>
            <w:pPr>
              <w:jc w:val="center"/>
              <w:rPr>
                <w:color w:val="auto"/>
              </w:rPr>
            </w:pPr>
          </w:p>
        </w:tc>
        <w:tc>
          <w:tcPr>
            <w:tcW w:w="4185" w:type="dxa"/>
            <w:vAlign w:val="center"/>
          </w:tcPr>
          <w:p>
            <w:pPr>
              <w:jc w:val="both"/>
              <w:rPr>
                <w:color w:val="auto"/>
                <w:vertAlign w:val="baseline"/>
              </w:rPr>
            </w:pPr>
            <w:r>
              <w:rPr>
                <w:rFonts w:hint="eastAsia"/>
                <w:color w:val="auto"/>
                <w:vertAlign w:val="baseline"/>
                <w:lang w:val="en-US" w:eastAsia="zh-CN"/>
              </w:rPr>
              <w:t>95#乙醇汽油：ZQ-BG/NE10-202208A004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5421"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高碑店市大平加油站</w:t>
            </w:r>
          </w:p>
        </w:tc>
        <w:tc>
          <w:tcPr>
            <w:tcW w:w="1890" w:type="dxa"/>
            <w:vMerge w:val="restart"/>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13730462833</w:t>
            </w:r>
          </w:p>
        </w:tc>
        <w:tc>
          <w:tcPr>
            <w:tcW w:w="1335" w:type="dxa"/>
            <w:vMerge w:val="restart"/>
            <w:vAlign w:val="center"/>
          </w:tcPr>
          <w:p>
            <w:pPr>
              <w:jc w:val="center"/>
              <w:rPr>
                <w:rFonts w:hint="default" w:eastAsiaTheme="minorEastAsia"/>
                <w:color w:val="auto"/>
                <w:vertAlign w:val="baseline"/>
                <w:lang w:val="en-US" w:eastAsia="zh-CN"/>
              </w:rPr>
            </w:pPr>
            <w:r>
              <w:rPr>
                <w:rFonts w:hint="eastAsia"/>
                <w:color w:val="auto"/>
                <w:lang w:val="en-US" w:eastAsia="zh-CN"/>
              </w:rPr>
              <w:t>许建平</w:t>
            </w:r>
          </w:p>
        </w:tc>
        <w:tc>
          <w:tcPr>
            <w:tcW w:w="1680"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2022.08.02</w:t>
            </w:r>
          </w:p>
        </w:tc>
        <w:tc>
          <w:tcPr>
            <w:tcW w:w="418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92#乙醇汽油：ZQ-BG/NE10-202208A001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9" w:type="dxa"/>
            <w:vMerge w:val="continue"/>
            <w:vAlign w:val="center"/>
          </w:tcPr>
          <w:p>
            <w:pPr>
              <w:jc w:val="center"/>
              <w:rPr>
                <w:rFonts w:hint="eastAsia"/>
                <w:color w:val="auto"/>
                <w:vertAlign w:val="baseline"/>
                <w:lang w:val="en-US" w:eastAsia="zh-CN"/>
              </w:rPr>
            </w:pPr>
          </w:p>
        </w:tc>
        <w:tc>
          <w:tcPr>
            <w:tcW w:w="5421" w:type="dxa"/>
            <w:vMerge w:val="continue"/>
            <w:vAlign w:val="center"/>
          </w:tcPr>
          <w:p>
            <w:pPr>
              <w:jc w:val="center"/>
              <w:rPr>
                <w:rFonts w:hint="eastAsia"/>
                <w:color w:val="auto"/>
                <w:vertAlign w:val="baseline"/>
                <w:lang w:val="en-US" w:eastAsia="zh-CN"/>
              </w:rPr>
            </w:pPr>
          </w:p>
        </w:tc>
        <w:tc>
          <w:tcPr>
            <w:tcW w:w="1890" w:type="dxa"/>
            <w:vMerge w:val="continue"/>
            <w:vAlign w:val="center"/>
          </w:tcPr>
          <w:p>
            <w:pPr>
              <w:jc w:val="center"/>
              <w:rPr>
                <w:rFonts w:hint="eastAsia"/>
                <w:color w:val="auto"/>
                <w:sz w:val="24"/>
                <w:szCs w:val="24"/>
                <w:vertAlign w:val="baseline"/>
                <w:lang w:val="en-US" w:eastAsia="zh-CN"/>
              </w:rPr>
            </w:pPr>
          </w:p>
        </w:tc>
        <w:tc>
          <w:tcPr>
            <w:tcW w:w="1335" w:type="dxa"/>
            <w:vMerge w:val="continue"/>
            <w:vAlign w:val="center"/>
          </w:tcPr>
          <w:p>
            <w:pPr>
              <w:jc w:val="center"/>
              <w:rPr>
                <w:rFonts w:hint="eastAsia"/>
                <w:color w:val="auto"/>
                <w:vertAlign w:val="baseline"/>
                <w:lang w:val="en-US" w:eastAsia="zh-CN"/>
              </w:rPr>
            </w:pPr>
          </w:p>
        </w:tc>
        <w:tc>
          <w:tcPr>
            <w:tcW w:w="1680" w:type="dxa"/>
            <w:vMerge w:val="continue"/>
            <w:vAlign w:val="center"/>
          </w:tcPr>
          <w:p>
            <w:pPr>
              <w:jc w:val="center"/>
              <w:rPr>
                <w:rFonts w:hint="eastAsia"/>
                <w:color w:val="auto"/>
                <w:vertAlign w:val="baseline"/>
                <w:lang w:val="en-US" w:eastAsia="zh-CN"/>
              </w:rPr>
            </w:pPr>
          </w:p>
        </w:tc>
        <w:tc>
          <w:tcPr>
            <w:tcW w:w="418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95#乙醇汽油：ZQ-BG/NE10-202208A002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5421"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保定市白洋淀温泉城大平加油站保定白沟新城第一分站</w:t>
            </w:r>
          </w:p>
        </w:tc>
        <w:tc>
          <w:tcPr>
            <w:tcW w:w="1890"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13730462833</w:t>
            </w:r>
          </w:p>
        </w:tc>
        <w:tc>
          <w:tcPr>
            <w:tcW w:w="1335" w:type="dxa"/>
            <w:vMerge w:val="restart"/>
            <w:vAlign w:val="center"/>
          </w:tcPr>
          <w:p>
            <w:pPr>
              <w:jc w:val="center"/>
              <w:rPr>
                <w:color w:val="auto"/>
                <w:vertAlign w:val="baseline"/>
              </w:rPr>
            </w:pPr>
            <w:r>
              <w:rPr>
                <w:rFonts w:hint="eastAsia"/>
                <w:color w:val="auto"/>
                <w:lang w:val="en-US" w:eastAsia="zh-CN"/>
              </w:rPr>
              <w:t>许建平</w:t>
            </w:r>
          </w:p>
        </w:tc>
        <w:tc>
          <w:tcPr>
            <w:tcW w:w="1680" w:type="dxa"/>
            <w:vMerge w:val="restart"/>
            <w:vAlign w:val="center"/>
          </w:tcPr>
          <w:p>
            <w:pPr>
              <w:jc w:val="center"/>
              <w:rPr>
                <w:color w:val="auto"/>
                <w:vertAlign w:val="baseline"/>
              </w:rPr>
            </w:pPr>
            <w:r>
              <w:rPr>
                <w:rFonts w:hint="eastAsia"/>
                <w:color w:val="auto"/>
                <w:vertAlign w:val="baseline"/>
                <w:lang w:val="en-US" w:eastAsia="zh-CN"/>
              </w:rPr>
              <w:t>2022.08.02</w:t>
            </w:r>
          </w:p>
        </w:tc>
        <w:tc>
          <w:tcPr>
            <w:tcW w:w="4185" w:type="dxa"/>
            <w:vAlign w:val="center"/>
          </w:tcPr>
          <w:p>
            <w:pPr>
              <w:jc w:val="both"/>
              <w:rPr>
                <w:color w:val="auto"/>
                <w:vertAlign w:val="baseline"/>
                <w:lang w:val="en-US"/>
              </w:rPr>
            </w:pPr>
            <w:r>
              <w:rPr>
                <w:rFonts w:hint="eastAsia"/>
                <w:color w:val="auto"/>
                <w:vertAlign w:val="baseline"/>
                <w:lang w:val="en-US" w:eastAsia="zh-CN"/>
              </w:rPr>
              <w:t>92#乙醇汽油：ZQ-BG/NE10-202208A011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59" w:type="dxa"/>
            <w:vMerge w:val="continue"/>
            <w:vAlign w:val="center"/>
          </w:tcPr>
          <w:p>
            <w:pPr>
              <w:jc w:val="center"/>
              <w:rPr>
                <w:rFonts w:hint="eastAsia"/>
                <w:color w:val="auto"/>
                <w:vertAlign w:val="baseline"/>
                <w:lang w:val="en-US" w:eastAsia="zh-CN"/>
              </w:rPr>
            </w:pPr>
          </w:p>
        </w:tc>
        <w:tc>
          <w:tcPr>
            <w:tcW w:w="5421" w:type="dxa"/>
            <w:vMerge w:val="continue"/>
            <w:vAlign w:val="center"/>
          </w:tcPr>
          <w:p>
            <w:pPr>
              <w:jc w:val="center"/>
              <w:rPr>
                <w:rFonts w:hint="eastAsia"/>
                <w:color w:val="auto"/>
                <w:vertAlign w:val="baseline"/>
                <w:lang w:val="en-US" w:eastAsia="zh-CN"/>
              </w:rPr>
            </w:pPr>
          </w:p>
        </w:tc>
        <w:tc>
          <w:tcPr>
            <w:tcW w:w="1890" w:type="dxa"/>
            <w:vMerge w:val="continue"/>
            <w:vAlign w:val="center"/>
          </w:tcPr>
          <w:p>
            <w:pPr>
              <w:jc w:val="center"/>
              <w:rPr>
                <w:rFonts w:hint="eastAsia"/>
                <w:color w:val="auto"/>
                <w:sz w:val="24"/>
                <w:szCs w:val="24"/>
                <w:vertAlign w:val="baseline"/>
                <w:lang w:val="en-US" w:eastAsia="zh-CN"/>
              </w:rPr>
            </w:pPr>
          </w:p>
        </w:tc>
        <w:tc>
          <w:tcPr>
            <w:tcW w:w="1335" w:type="dxa"/>
            <w:vMerge w:val="continue"/>
            <w:vAlign w:val="center"/>
          </w:tcPr>
          <w:p>
            <w:pPr>
              <w:jc w:val="center"/>
              <w:rPr>
                <w:rFonts w:hint="eastAsia"/>
                <w:color w:val="auto"/>
                <w:vertAlign w:val="baseline"/>
                <w:lang w:val="en-US" w:eastAsia="zh-CN"/>
              </w:rPr>
            </w:pPr>
          </w:p>
        </w:tc>
        <w:tc>
          <w:tcPr>
            <w:tcW w:w="1680" w:type="dxa"/>
            <w:vMerge w:val="continue"/>
            <w:vAlign w:val="center"/>
          </w:tcPr>
          <w:p>
            <w:pPr>
              <w:jc w:val="center"/>
              <w:rPr>
                <w:rFonts w:hint="eastAsia"/>
                <w:color w:val="auto"/>
                <w:vertAlign w:val="baseline"/>
                <w:lang w:val="en-US" w:eastAsia="zh-CN"/>
              </w:rPr>
            </w:pPr>
          </w:p>
        </w:tc>
        <w:tc>
          <w:tcPr>
            <w:tcW w:w="418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95#乙醇汽油：ZQ-BG/NE10-202208A012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5421"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保定白沟新城高桥加油站</w:t>
            </w:r>
          </w:p>
        </w:tc>
        <w:tc>
          <w:tcPr>
            <w:tcW w:w="1890" w:type="dxa"/>
            <w:vMerge w:val="restart"/>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18331271129</w:t>
            </w:r>
          </w:p>
        </w:tc>
        <w:tc>
          <w:tcPr>
            <w:tcW w:w="1335"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李佳怡</w:t>
            </w:r>
          </w:p>
        </w:tc>
        <w:tc>
          <w:tcPr>
            <w:tcW w:w="1680" w:type="dxa"/>
            <w:vMerge w:val="restart"/>
            <w:vAlign w:val="center"/>
          </w:tcPr>
          <w:p>
            <w:pPr>
              <w:jc w:val="center"/>
              <w:rPr>
                <w:rFonts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2022.08.02</w:t>
            </w:r>
          </w:p>
        </w:tc>
        <w:tc>
          <w:tcPr>
            <w:tcW w:w="4185" w:type="dxa"/>
            <w:vAlign w:val="center"/>
          </w:tcPr>
          <w:p>
            <w:pPr>
              <w:jc w:val="both"/>
              <w:rPr>
                <w:rFonts w:hint="default"/>
                <w:color w:val="auto"/>
                <w:vertAlign w:val="baseline"/>
                <w:lang w:val="en-US"/>
              </w:rPr>
            </w:pPr>
            <w:r>
              <w:rPr>
                <w:rFonts w:hint="eastAsia"/>
                <w:color w:val="auto"/>
                <w:vertAlign w:val="baseline"/>
                <w:lang w:val="en-US" w:eastAsia="zh-CN"/>
              </w:rPr>
              <w:t>92#乙醇汽油：ZQ-BG/NE10-202208A007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9" w:type="dxa"/>
            <w:vMerge w:val="continue"/>
            <w:vAlign w:val="center"/>
          </w:tcPr>
          <w:p>
            <w:pPr>
              <w:jc w:val="center"/>
              <w:rPr>
                <w:rFonts w:hint="eastAsia"/>
                <w:color w:val="auto"/>
                <w:vertAlign w:val="baseline"/>
                <w:lang w:val="en-US" w:eastAsia="zh-CN"/>
              </w:rPr>
            </w:pPr>
          </w:p>
        </w:tc>
        <w:tc>
          <w:tcPr>
            <w:tcW w:w="5421" w:type="dxa"/>
            <w:vMerge w:val="continue"/>
            <w:vAlign w:val="center"/>
          </w:tcPr>
          <w:p>
            <w:pPr>
              <w:jc w:val="center"/>
              <w:rPr>
                <w:rFonts w:hint="eastAsia"/>
                <w:color w:val="auto"/>
                <w:vertAlign w:val="baseline"/>
                <w:lang w:val="en-US" w:eastAsia="zh-CN"/>
              </w:rPr>
            </w:pPr>
          </w:p>
        </w:tc>
        <w:tc>
          <w:tcPr>
            <w:tcW w:w="1890" w:type="dxa"/>
            <w:vMerge w:val="continue"/>
            <w:vAlign w:val="center"/>
          </w:tcPr>
          <w:p>
            <w:pPr>
              <w:jc w:val="center"/>
              <w:rPr>
                <w:rFonts w:hint="eastAsia"/>
                <w:color w:val="auto"/>
                <w:sz w:val="24"/>
                <w:szCs w:val="24"/>
                <w:vertAlign w:val="baseline"/>
                <w:lang w:val="en-US" w:eastAsia="zh-CN"/>
              </w:rPr>
            </w:pPr>
          </w:p>
        </w:tc>
        <w:tc>
          <w:tcPr>
            <w:tcW w:w="1335" w:type="dxa"/>
            <w:vMerge w:val="continue"/>
            <w:vAlign w:val="center"/>
          </w:tcPr>
          <w:p>
            <w:pPr>
              <w:jc w:val="center"/>
              <w:rPr>
                <w:rFonts w:hint="eastAsia"/>
                <w:color w:val="auto"/>
                <w:vertAlign w:val="baseline"/>
              </w:rPr>
            </w:pPr>
          </w:p>
        </w:tc>
        <w:tc>
          <w:tcPr>
            <w:tcW w:w="1680" w:type="dxa"/>
            <w:vMerge w:val="continue"/>
            <w:vAlign w:val="center"/>
          </w:tcPr>
          <w:p>
            <w:pPr>
              <w:jc w:val="center"/>
              <w:rPr>
                <w:rFonts w:hint="eastAsia"/>
                <w:color w:val="auto"/>
                <w:vertAlign w:val="baseline"/>
                <w:lang w:val="en-US" w:eastAsia="zh-CN"/>
              </w:rPr>
            </w:pPr>
          </w:p>
        </w:tc>
        <w:tc>
          <w:tcPr>
            <w:tcW w:w="4185" w:type="dxa"/>
            <w:vAlign w:val="center"/>
          </w:tcPr>
          <w:p>
            <w:pPr>
              <w:jc w:val="both"/>
              <w:rPr>
                <w:rFonts w:hint="default"/>
                <w:color w:val="auto"/>
                <w:vertAlign w:val="baseline"/>
                <w:lang w:val="en-US" w:eastAsia="zh-CN"/>
              </w:rPr>
            </w:pPr>
            <w:r>
              <w:rPr>
                <w:rFonts w:hint="eastAsia"/>
                <w:color w:val="auto"/>
                <w:vertAlign w:val="baseline"/>
                <w:lang w:val="en-US" w:eastAsia="zh-CN"/>
              </w:rPr>
              <w:t>95#乙醇汽油：ZQ-BG/NE10-202208A008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jc w:val="center"/>
              <w:rPr>
                <w:color w:val="auto"/>
              </w:rPr>
            </w:pPr>
          </w:p>
        </w:tc>
        <w:tc>
          <w:tcPr>
            <w:tcW w:w="5421" w:type="dxa"/>
            <w:vMerge w:val="continue"/>
            <w:vAlign w:val="center"/>
          </w:tcPr>
          <w:p>
            <w:pPr>
              <w:jc w:val="center"/>
              <w:rPr>
                <w:color w:val="auto"/>
              </w:rPr>
            </w:pPr>
          </w:p>
        </w:tc>
        <w:tc>
          <w:tcPr>
            <w:tcW w:w="1890" w:type="dxa"/>
            <w:vMerge w:val="continue"/>
            <w:vAlign w:val="center"/>
          </w:tcPr>
          <w:p>
            <w:pPr>
              <w:jc w:val="center"/>
              <w:rPr>
                <w:color w:val="auto"/>
              </w:rPr>
            </w:pPr>
          </w:p>
        </w:tc>
        <w:tc>
          <w:tcPr>
            <w:tcW w:w="1335" w:type="dxa"/>
            <w:vMerge w:val="continue"/>
            <w:vAlign w:val="center"/>
          </w:tcPr>
          <w:p>
            <w:pPr>
              <w:jc w:val="center"/>
              <w:rPr>
                <w:color w:val="auto"/>
              </w:rPr>
            </w:pPr>
          </w:p>
        </w:tc>
        <w:tc>
          <w:tcPr>
            <w:tcW w:w="1680" w:type="dxa"/>
            <w:vMerge w:val="continue"/>
            <w:vAlign w:val="center"/>
          </w:tcPr>
          <w:p>
            <w:pPr>
              <w:jc w:val="center"/>
              <w:rPr>
                <w:color w:val="auto"/>
              </w:rPr>
            </w:pPr>
          </w:p>
        </w:tc>
        <w:tc>
          <w:tcPr>
            <w:tcW w:w="4185" w:type="dxa"/>
            <w:vAlign w:val="center"/>
          </w:tcPr>
          <w:p>
            <w:pPr>
              <w:jc w:val="both"/>
              <w:rPr>
                <w:color w:val="auto"/>
                <w:vertAlign w:val="baseline"/>
              </w:rPr>
            </w:pPr>
            <w:r>
              <w:rPr>
                <w:rFonts w:hint="eastAsia"/>
                <w:color w:val="auto"/>
                <w:vertAlign w:val="baseline"/>
                <w:lang w:val="en-US" w:eastAsia="zh-CN"/>
              </w:rPr>
              <w:t>0#柴油：ZQ-BG/NC-202208A002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5421"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保定白沟新城德月加油站</w:t>
            </w:r>
          </w:p>
        </w:tc>
        <w:tc>
          <w:tcPr>
            <w:tcW w:w="1890" w:type="dxa"/>
            <w:vMerge w:val="restart"/>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15931640928</w:t>
            </w:r>
          </w:p>
        </w:tc>
        <w:tc>
          <w:tcPr>
            <w:tcW w:w="1335"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李悦琴</w:t>
            </w:r>
          </w:p>
        </w:tc>
        <w:tc>
          <w:tcPr>
            <w:tcW w:w="1680" w:type="dxa"/>
            <w:vMerge w:val="restart"/>
            <w:vAlign w:val="center"/>
          </w:tcPr>
          <w:p>
            <w:pPr>
              <w:jc w:val="center"/>
              <w:rPr>
                <w:rFonts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2022.08.02</w:t>
            </w:r>
          </w:p>
        </w:tc>
        <w:tc>
          <w:tcPr>
            <w:tcW w:w="4185" w:type="dxa"/>
            <w:vAlign w:val="center"/>
          </w:tcPr>
          <w:p>
            <w:pPr>
              <w:jc w:val="both"/>
              <w:rPr>
                <w:rFonts w:hint="default"/>
                <w:color w:val="auto"/>
                <w:vertAlign w:val="baseline"/>
                <w:lang w:val="en-US"/>
              </w:rPr>
            </w:pPr>
            <w:r>
              <w:rPr>
                <w:rFonts w:hint="eastAsia"/>
                <w:color w:val="auto"/>
                <w:vertAlign w:val="baseline"/>
                <w:lang w:val="en-US" w:eastAsia="zh-CN"/>
              </w:rPr>
              <w:t>92#乙醇汽油：ZQ-BG/NE10-202208A005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59" w:type="dxa"/>
            <w:vMerge w:val="continue"/>
            <w:vAlign w:val="center"/>
          </w:tcPr>
          <w:p>
            <w:pPr>
              <w:jc w:val="center"/>
              <w:rPr>
                <w:rFonts w:hint="eastAsia"/>
                <w:color w:val="auto"/>
                <w:vertAlign w:val="baseline"/>
                <w:lang w:val="en-US" w:eastAsia="zh-CN"/>
              </w:rPr>
            </w:pPr>
          </w:p>
        </w:tc>
        <w:tc>
          <w:tcPr>
            <w:tcW w:w="5421" w:type="dxa"/>
            <w:vMerge w:val="continue"/>
            <w:vAlign w:val="center"/>
          </w:tcPr>
          <w:p>
            <w:pPr>
              <w:jc w:val="center"/>
              <w:rPr>
                <w:rFonts w:hint="eastAsia"/>
                <w:color w:val="auto"/>
                <w:vertAlign w:val="baseline"/>
                <w:lang w:val="en-US" w:eastAsia="zh-CN"/>
              </w:rPr>
            </w:pPr>
          </w:p>
        </w:tc>
        <w:tc>
          <w:tcPr>
            <w:tcW w:w="1890" w:type="dxa"/>
            <w:vMerge w:val="continue"/>
            <w:vAlign w:val="center"/>
          </w:tcPr>
          <w:p>
            <w:pPr>
              <w:jc w:val="center"/>
              <w:rPr>
                <w:rFonts w:hint="eastAsia"/>
                <w:color w:val="auto"/>
                <w:sz w:val="24"/>
                <w:szCs w:val="24"/>
                <w:vertAlign w:val="baseline"/>
                <w:lang w:val="en-US" w:eastAsia="zh-CN"/>
              </w:rPr>
            </w:pPr>
          </w:p>
        </w:tc>
        <w:tc>
          <w:tcPr>
            <w:tcW w:w="1335" w:type="dxa"/>
            <w:vMerge w:val="continue"/>
            <w:vAlign w:val="center"/>
          </w:tcPr>
          <w:p>
            <w:pPr>
              <w:jc w:val="center"/>
              <w:rPr>
                <w:rFonts w:hint="eastAsia"/>
                <w:color w:val="auto"/>
                <w:vertAlign w:val="baseline"/>
                <w:lang w:val="en-US" w:eastAsia="zh-CN"/>
              </w:rPr>
            </w:pPr>
          </w:p>
        </w:tc>
        <w:tc>
          <w:tcPr>
            <w:tcW w:w="1680" w:type="dxa"/>
            <w:vMerge w:val="continue"/>
            <w:vAlign w:val="center"/>
          </w:tcPr>
          <w:p>
            <w:pPr>
              <w:jc w:val="center"/>
              <w:rPr>
                <w:rFonts w:hint="eastAsia"/>
                <w:color w:val="auto"/>
                <w:vertAlign w:val="baseline"/>
                <w:lang w:val="en-US" w:eastAsia="zh-CN"/>
              </w:rPr>
            </w:pPr>
          </w:p>
        </w:tc>
        <w:tc>
          <w:tcPr>
            <w:tcW w:w="4185" w:type="dxa"/>
            <w:vAlign w:val="center"/>
          </w:tcPr>
          <w:p>
            <w:pPr>
              <w:jc w:val="both"/>
              <w:rPr>
                <w:rFonts w:hint="default"/>
                <w:color w:val="auto"/>
                <w:vertAlign w:val="baseline"/>
                <w:lang w:val="en-US" w:eastAsia="zh-CN"/>
              </w:rPr>
            </w:pPr>
            <w:r>
              <w:rPr>
                <w:rFonts w:hint="eastAsia"/>
                <w:color w:val="auto"/>
                <w:vertAlign w:val="baseline"/>
                <w:lang w:val="en-US" w:eastAsia="zh-CN"/>
              </w:rPr>
              <w:t>95#乙醇汽油：ZQ-BG/NE10-202208A006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9" w:type="dxa"/>
            <w:vMerge w:val="continue"/>
            <w:vAlign w:val="center"/>
          </w:tcPr>
          <w:p>
            <w:pPr>
              <w:jc w:val="center"/>
              <w:rPr>
                <w:color w:val="auto"/>
              </w:rPr>
            </w:pPr>
          </w:p>
        </w:tc>
        <w:tc>
          <w:tcPr>
            <w:tcW w:w="5421" w:type="dxa"/>
            <w:vMerge w:val="continue"/>
            <w:vAlign w:val="center"/>
          </w:tcPr>
          <w:p>
            <w:pPr>
              <w:jc w:val="center"/>
              <w:rPr>
                <w:color w:val="auto"/>
              </w:rPr>
            </w:pPr>
          </w:p>
        </w:tc>
        <w:tc>
          <w:tcPr>
            <w:tcW w:w="1890" w:type="dxa"/>
            <w:vMerge w:val="continue"/>
            <w:vAlign w:val="center"/>
          </w:tcPr>
          <w:p>
            <w:pPr>
              <w:jc w:val="center"/>
              <w:rPr>
                <w:color w:val="auto"/>
              </w:rPr>
            </w:pPr>
          </w:p>
        </w:tc>
        <w:tc>
          <w:tcPr>
            <w:tcW w:w="1335" w:type="dxa"/>
            <w:vMerge w:val="continue"/>
            <w:vAlign w:val="center"/>
          </w:tcPr>
          <w:p>
            <w:pPr>
              <w:jc w:val="center"/>
              <w:rPr>
                <w:color w:val="auto"/>
              </w:rPr>
            </w:pPr>
          </w:p>
        </w:tc>
        <w:tc>
          <w:tcPr>
            <w:tcW w:w="1680" w:type="dxa"/>
            <w:vMerge w:val="continue"/>
            <w:vAlign w:val="center"/>
          </w:tcPr>
          <w:p>
            <w:pPr>
              <w:jc w:val="center"/>
              <w:rPr>
                <w:color w:val="auto"/>
              </w:rPr>
            </w:pPr>
          </w:p>
        </w:tc>
        <w:tc>
          <w:tcPr>
            <w:tcW w:w="4185" w:type="dxa"/>
            <w:vAlign w:val="center"/>
          </w:tcPr>
          <w:p>
            <w:pPr>
              <w:jc w:val="both"/>
              <w:rPr>
                <w:color w:val="auto"/>
                <w:vertAlign w:val="baseline"/>
              </w:rPr>
            </w:pPr>
            <w:r>
              <w:rPr>
                <w:rFonts w:hint="eastAsia"/>
                <w:color w:val="auto"/>
                <w:vertAlign w:val="baseline"/>
                <w:lang w:val="en-US" w:eastAsia="zh-CN"/>
              </w:rPr>
              <w:t>0#柴油：ZQ-BG/NC-202208A001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6</w:t>
            </w:r>
          </w:p>
        </w:tc>
        <w:tc>
          <w:tcPr>
            <w:tcW w:w="5421"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高碑店市宝光加油站</w:t>
            </w:r>
          </w:p>
        </w:tc>
        <w:tc>
          <w:tcPr>
            <w:tcW w:w="1890" w:type="dxa"/>
            <w:vMerge w:val="restart"/>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15097721708</w:t>
            </w:r>
          </w:p>
        </w:tc>
        <w:tc>
          <w:tcPr>
            <w:tcW w:w="1335"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李宝光</w:t>
            </w:r>
          </w:p>
        </w:tc>
        <w:tc>
          <w:tcPr>
            <w:tcW w:w="1680" w:type="dxa"/>
            <w:vMerge w:val="restart"/>
            <w:vAlign w:val="center"/>
          </w:tcPr>
          <w:p>
            <w:pPr>
              <w:jc w:val="center"/>
              <w:rPr>
                <w:rFonts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2022.08.02</w:t>
            </w:r>
          </w:p>
        </w:tc>
        <w:tc>
          <w:tcPr>
            <w:tcW w:w="4185" w:type="dxa"/>
            <w:vAlign w:val="center"/>
          </w:tcPr>
          <w:p>
            <w:pPr>
              <w:jc w:val="both"/>
              <w:rPr>
                <w:color w:val="auto"/>
                <w:vertAlign w:val="baseline"/>
              </w:rPr>
            </w:pPr>
            <w:r>
              <w:rPr>
                <w:rFonts w:hint="eastAsia"/>
                <w:color w:val="auto"/>
                <w:vertAlign w:val="baseline"/>
                <w:lang w:val="en-US" w:eastAsia="zh-CN"/>
              </w:rPr>
              <w:t>92#乙醇汽油：ZQ-BG/NE10-202208A009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59" w:type="dxa"/>
            <w:vMerge w:val="continue"/>
            <w:vAlign w:val="center"/>
          </w:tcPr>
          <w:p>
            <w:pPr>
              <w:jc w:val="center"/>
              <w:rPr>
                <w:color w:val="auto"/>
              </w:rPr>
            </w:pPr>
          </w:p>
        </w:tc>
        <w:tc>
          <w:tcPr>
            <w:tcW w:w="5421" w:type="dxa"/>
            <w:vMerge w:val="continue"/>
            <w:vAlign w:val="center"/>
          </w:tcPr>
          <w:p>
            <w:pPr>
              <w:jc w:val="center"/>
              <w:rPr>
                <w:color w:val="auto"/>
              </w:rPr>
            </w:pPr>
          </w:p>
        </w:tc>
        <w:tc>
          <w:tcPr>
            <w:tcW w:w="1890" w:type="dxa"/>
            <w:vMerge w:val="continue"/>
            <w:vAlign w:val="center"/>
          </w:tcPr>
          <w:p>
            <w:pPr>
              <w:jc w:val="center"/>
              <w:rPr>
                <w:color w:val="auto"/>
              </w:rPr>
            </w:pPr>
          </w:p>
        </w:tc>
        <w:tc>
          <w:tcPr>
            <w:tcW w:w="1335" w:type="dxa"/>
            <w:vMerge w:val="continue"/>
            <w:vAlign w:val="center"/>
          </w:tcPr>
          <w:p>
            <w:pPr>
              <w:jc w:val="center"/>
              <w:rPr>
                <w:color w:val="auto"/>
              </w:rPr>
            </w:pPr>
          </w:p>
        </w:tc>
        <w:tc>
          <w:tcPr>
            <w:tcW w:w="1680" w:type="dxa"/>
            <w:vMerge w:val="continue"/>
            <w:vAlign w:val="center"/>
          </w:tcPr>
          <w:p>
            <w:pPr>
              <w:jc w:val="center"/>
              <w:rPr>
                <w:color w:val="auto"/>
              </w:rPr>
            </w:pPr>
          </w:p>
        </w:tc>
        <w:tc>
          <w:tcPr>
            <w:tcW w:w="4185" w:type="dxa"/>
            <w:vAlign w:val="center"/>
          </w:tcPr>
          <w:p>
            <w:pPr>
              <w:jc w:val="both"/>
              <w:rPr>
                <w:rFonts w:hint="default"/>
                <w:color w:val="auto"/>
                <w:vertAlign w:val="baseline"/>
                <w:lang w:val="en-US"/>
              </w:rPr>
            </w:pPr>
            <w:r>
              <w:rPr>
                <w:rFonts w:hint="eastAsia"/>
                <w:color w:val="auto"/>
                <w:vertAlign w:val="baseline"/>
                <w:lang w:val="en-US" w:eastAsia="zh-CN"/>
              </w:rPr>
              <w:t>95#乙醇汽油：ZQ-BG/NE10-202208A010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59" w:type="dxa"/>
            <w:vMerge w:val="continue"/>
            <w:vAlign w:val="center"/>
          </w:tcPr>
          <w:p>
            <w:pPr>
              <w:jc w:val="center"/>
              <w:rPr>
                <w:color w:val="auto"/>
                <w:vertAlign w:val="baseline"/>
              </w:rPr>
            </w:pPr>
          </w:p>
        </w:tc>
        <w:tc>
          <w:tcPr>
            <w:tcW w:w="5421" w:type="dxa"/>
            <w:vMerge w:val="continue"/>
            <w:vAlign w:val="center"/>
          </w:tcPr>
          <w:p>
            <w:pPr>
              <w:jc w:val="center"/>
              <w:rPr>
                <w:color w:val="auto"/>
                <w:vertAlign w:val="baseline"/>
              </w:rPr>
            </w:pPr>
          </w:p>
        </w:tc>
        <w:tc>
          <w:tcPr>
            <w:tcW w:w="1890" w:type="dxa"/>
            <w:vMerge w:val="continue"/>
            <w:vAlign w:val="center"/>
          </w:tcPr>
          <w:p>
            <w:pPr>
              <w:jc w:val="center"/>
              <w:rPr>
                <w:color w:val="auto"/>
                <w:vertAlign w:val="baseline"/>
              </w:rPr>
            </w:pPr>
          </w:p>
        </w:tc>
        <w:tc>
          <w:tcPr>
            <w:tcW w:w="1335" w:type="dxa"/>
            <w:vMerge w:val="continue"/>
            <w:vAlign w:val="center"/>
          </w:tcPr>
          <w:p>
            <w:pPr>
              <w:jc w:val="center"/>
              <w:rPr>
                <w:color w:val="auto"/>
                <w:vertAlign w:val="baseline"/>
              </w:rPr>
            </w:pPr>
          </w:p>
        </w:tc>
        <w:tc>
          <w:tcPr>
            <w:tcW w:w="1680" w:type="dxa"/>
            <w:vMerge w:val="continue"/>
            <w:vAlign w:val="center"/>
          </w:tcPr>
          <w:p>
            <w:pPr>
              <w:jc w:val="center"/>
              <w:rPr>
                <w:color w:val="auto"/>
                <w:vertAlign w:val="baseline"/>
              </w:rPr>
            </w:pPr>
          </w:p>
        </w:tc>
        <w:tc>
          <w:tcPr>
            <w:tcW w:w="418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0#柴油：ZQ-BG/NC-202208A003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270" w:type="dxa"/>
            <w:gridSpan w:val="6"/>
            <w:vAlign w:val="center"/>
          </w:tcPr>
          <w:p>
            <w:pPr>
              <w:numPr>
                <w:ilvl w:val="0"/>
                <w:numId w:val="0"/>
              </w:numPr>
              <w:jc w:val="center"/>
              <w:rPr>
                <w:color w:val="auto"/>
                <w:vertAlign w:val="baseline"/>
              </w:rPr>
            </w:pPr>
            <w:r>
              <w:rPr>
                <w:rFonts w:hint="eastAsia"/>
                <w:color w:val="auto"/>
                <w:sz w:val="24"/>
                <w:szCs w:val="24"/>
                <w:vertAlign w:val="baseline"/>
                <w:lang w:val="en-US" w:eastAsia="zh-CN"/>
              </w:rPr>
              <w:t>第三季度共抽检乙醇汽油92#、95#各6个批次，柴油0# 3个批次，抽检结果全部合格。</w:t>
            </w:r>
          </w:p>
        </w:tc>
      </w:tr>
    </w:tbl>
    <w:p>
      <w:pPr>
        <w:jc w:val="both"/>
        <w:rPr>
          <w:rFonts w:hint="default"/>
          <w:color w:val="auto"/>
          <w:sz w:val="24"/>
          <w:szCs w:val="24"/>
          <w:lang w:val="en-US" w:eastAsia="zh-CN"/>
        </w:rPr>
      </w:pPr>
      <w:bookmarkStart w:id="0" w:name="_GoBack"/>
      <w:bookmarkEnd w:id="0"/>
    </w:p>
    <w:sectPr>
      <w:pgSz w:w="16838" w:h="11906" w:orient="landscape"/>
      <w:pgMar w:top="1134" w:right="2098"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2E1Mzk4MmIzYjE4YTY3ZWI0MjdkYTMzNDY0YTUifQ=="/>
  </w:docVars>
  <w:rsids>
    <w:rsidRoot w:val="00000000"/>
    <w:rsid w:val="02A50482"/>
    <w:rsid w:val="03020C9C"/>
    <w:rsid w:val="08183446"/>
    <w:rsid w:val="0B5E55B3"/>
    <w:rsid w:val="2ECF1429"/>
    <w:rsid w:val="40985384"/>
    <w:rsid w:val="43CC177F"/>
    <w:rsid w:val="4594630B"/>
    <w:rsid w:val="4870382A"/>
    <w:rsid w:val="4AB322A2"/>
    <w:rsid w:val="4D5C2645"/>
    <w:rsid w:val="591E6F5F"/>
    <w:rsid w:val="5947252B"/>
    <w:rsid w:val="5A221FCB"/>
    <w:rsid w:val="5B0A4AD4"/>
    <w:rsid w:val="5C01410B"/>
    <w:rsid w:val="6EB75C81"/>
    <w:rsid w:val="70E5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1153</Characters>
  <Lines>0</Lines>
  <Paragraphs>0</Paragraphs>
  <TotalTime>6</TotalTime>
  <ScaleCrop>false</ScaleCrop>
  <LinksUpToDate>false</LinksUpToDate>
  <CharactersWithSpaces>1155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qzuser</cp:lastModifiedBy>
  <dcterms:modified xsi:type="dcterms:W3CDTF">2022-08-09T03:26:14Z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0AAFB310EF6B4DE08051746951E68279</vt:lpwstr>
  </property>
</Properties>
</file>