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7"/>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37" w:type="pct"/>
            <w:tcBorders>
              <w:tl2br w:val="nil"/>
              <w:tr2bl w:val="nil"/>
            </w:tcBorders>
          </w:tcPr>
          <w:p>
            <w:pPr>
              <w:widowControl w:val="0"/>
              <w:spacing w:afterLines="50"/>
              <w:jc w:val="distribute"/>
              <w:rPr>
                <w:rFonts w:hint="eastAsia" w:ascii="方正小标宋简体" w:hAnsi="Century Gothic" w:eastAsia="方正小标宋简体"/>
                <w:bCs/>
                <w:color w:val="FF0000"/>
                <w:spacing w:val="-96"/>
                <w:w w:val="70"/>
                <w:sz w:val="116"/>
                <w:szCs w:val="116"/>
                <w:vertAlign w:val="baseline"/>
                <w:lang w:val="en-US" w:eastAsia="zh-CN"/>
              </w:rPr>
            </w:pPr>
            <w:r>
              <w:rPr>
                <w:rFonts w:hint="eastAsia" w:ascii="方正小标宋简体" w:hAnsi="Century Gothic" w:eastAsia="方正小标宋简体"/>
                <w:bCs/>
                <w:color w:val="FF0000"/>
                <w:spacing w:val="-96"/>
                <w:w w:val="70"/>
                <w:sz w:val="92"/>
                <w:szCs w:val="92"/>
                <w:vertAlign w:val="baseline"/>
                <w:lang w:val="en-US" w:eastAsia="zh-CN"/>
              </w:rPr>
              <w:t>保定白沟新城财政局</w:t>
            </w:r>
          </w:p>
        </w:tc>
        <w:tc>
          <w:tcPr>
            <w:tcW w:w="662" w:type="pct"/>
            <w:vMerge w:val="restart"/>
            <w:tcBorders>
              <w:tl2br w:val="nil"/>
              <w:tr2bl w:val="nil"/>
            </w:tcBorders>
            <w:vAlign w:val="center"/>
          </w:tcPr>
          <w:p>
            <w:pPr>
              <w:widowControl w:val="0"/>
              <w:spacing w:afterLines="50"/>
              <w:jc w:val="center"/>
              <w:rPr>
                <w:rFonts w:hint="eastAsia" w:ascii="方正小标宋简体" w:hAnsi="Century Gothic" w:eastAsia="方正小标宋简体"/>
                <w:bCs/>
                <w:color w:val="FF0000"/>
                <w:spacing w:val="-96"/>
                <w:w w:val="70"/>
                <w:sz w:val="180"/>
                <w:szCs w:val="180"/>
                <w:vertAlign w:val="baseline"/>
                <w:lang w:val="en-US" w:eastAsia="zh-CN"/>
              </w:rPr>
            </w:pPr>
            <w:r>
              <w:rPr>
                <w:rFonts w:hint="eastAsia" w:ascii="方正小标宋简体" w:hAnsi="Century Gothic" w:eastAsia="方正小标宋简体"/>
                <w:bCs/>
                <w:color w:val="FF0000"/>
                <w:spacing w:val="-96"/>
                <w:w w:val="70"/>
                <w:sz w:val="92"/>
                <w:szCs w:val="92"/>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7" w:type="pct"/>
            <w:tcBorders>
              <w:tl2br w:val="nil"/>
              <w:tr2bl w:val="nil"/>
            </w:tcBorders>
          </w:tcPr>
          <w:p>
            <w:pPr>
              <w:widowControl w:val="0"/>
              <w:spacing w:afterLines="50"/>
              <w:jc w:val="distribute"/>
              <w:rPr>
                <w:rFonts w:hint="eastAsia" w:ascii="方正小标宋简体" w:hAnsi="Century Gothic" w:eastAsia="方正小标宋简体"/>
                <w:bCs/>
                <w:color w:val="FF0000"/>
                <w:spacing w:val="-96"/>
                <w:w w:val="70"/>
                <w:sz w:val="116"/>
                <w:szCs w:val="116"/>
                <w:vertAlign w:val="baseline"/>
                <w:lang w:val="en-US" w:eastAsia="zh-CN"/>
              </w:rPr>
            </w:pPr>
            <w:r>
              <w:rPr>
                <w:rFonts w:hint="eastAsia" w:ascii="方正小标宋简体" w:hAnsi="Century Gothic" w:eastAsia="方正小标宋简体"/>
                <w:bCs/>
                <w:color w:val="FF0000"/>
                <w:spacing w:val="-96"/>
                <w:w w:val="70"/>
                <w:sz w:val="92"/>
                <w:szCs w:val="92"/>
                <w:vertAlign w:val="baseline"/>
                <w:lang w:val="en-US" w:eastAsia="zh-CN"/>
              </w:rPr>
              <w:t>保定白沟新城白沟镇人民政府</w:t>
            </w:r>
          </w:p>
        </w:tc>
        <w:tc>
          <w:tcPr>
            <w:tcW w:w="662" w:type="pct"/>
            <w:vMerge w:val="continue"/>
            <w:tcBorders>
              <w:tl2br w:val="nil"/>
              <w:tr2bl w:val="nil"/>
            </w:tcBorders>
          </w:tcPr>
          <w:p>
            <w:pPr>
              <w:widowControl w:val="0"/>
              <w:spacing w:afterLines="50"/>
              <w:jc w:val="distribute"/>
              <w:rPr>
                <w:rFonts w:hint="eastAsia" w:ascii="方正小标宋简体" w:hAnsi="Century Gothic" w:eastAsia="方正小标宋简体"/>
                <w:bCs/>
                <w:color w:val="FF0000"/>
                <w:spacing w:val="-96"/>
                <w:w w:val="70"/>
                <w:sz w:val="180"/>
                <w:szCs w:val="180"/>
                <w:vertAlign w:val="baseline"/>
                <w:lang w:val="en-US" w:eastAsia="zh-CN"/>
              </w:rPr>
            </w:pPr>
          </w:p>
        </w:tc>
      </w:tr>
    </w:tbl>
    <w:p>
      <w:pPr>
        <w:spacing w:line="580" w:lineRule="exact"/>
        <w:jc w:val="center"/>
        <w:rPr>
          <w:rFonts w:ascii="仿宋_GB2312" w:eastAsia="仿宋_GB2312"/>
          <w:sz w:val="32"/>
          <w:szCs w:val="32"/>
        </w:rPr>
      </w:pPr>
      <w:r>
        <w:rPr>
          <w:rFonts w:hint="eastAsia" w:ascii="仿宋_GB2312" w:hAnsi="Century Gothic" w:eastAsia="仿宋_GB2312"/>
          <w:color w:val="000000"/>
          <w:sz w:val="32"/>
          <w:szCs w:val="32"/>
        </w:rPr>
        <w:t>白</w:t>
      </w:r>
      <w:r>
        <w:rPr>
          <w:rFonts w:hint="eastAsia" w:ascii="仿宋_GB2312" w:hAnsi="Century Gothic" w:eastAsia="仿宋_GB2312"/>
          <w:color w:val="000000"/>
          <w:sz w:val="32"/>
          <w:szCs w:val="32"/>
          <w:lang w:eastAsia="zh-CN"/>
        </w:rPr>
        <w:t>财农联</w:t>
      </w:r>
      <w:r>
        <w:rPr>
          <w:rFonts w:hint="eastAsia" w:ascii="仿宋_GB2312" w:hAnsi="Century Gothic" w:eastAsia="仿宋_GB2312"/>
          <w:color w:val="000000"/>
          <w:sz w:val="32"/>
          <w:szCs w:val="32"/>
        </w:rPr>
        <w:t>〔</w:t>
      </w:r>
      <w:r>
        <w:rPr>
          <w:rFonts w:hint="eastAsia" w:ascii="仿宋_GB2312" w:hAnsi="Century Gothic" w:eastAsia="仿宋_GB2312"/>
          <w:color w:val="000000"/>
          <w:sz w:val="32"/>
          <w:szCs w:val="32"/>
          <w:lang w:val="en-US" w:eastAsia="zh-CN"/>
        </w:rPr>
        <w:t>2021</w:t>
      </w:r>
      <w:r>
        <w:rPr>
          <w:rFonts w:hint="eastAsia" w:ascii="仿宋_GB2312" w:hAnsi="Century Gothic" w:eastAsia="仿宋_GB2312"/>
          <w:color w:val="000000"/>
          <w:sz w:val="32"/>
          <w:szCs w:val="32"/>
        </w:rPr>
        <w:t>〕</w:t>
      </w:r>
      <w:r>
        <w:rPr>
          <w:rFonts w:hint="eastAsia" w:ascii="仿宋_GB2312" w:hAnsi="Century Gothic" w:eastAsia="仿宋_GB2312"/>
          <w:color w:val="000000"/>
          <w:sz w:val="32"/>
          <w:szCs w:val="32"/>
          <w:lang w:val="en-US" w:eastAsia="zh-CN"/>
        </w:rPr>
        <w:t>3</w:t>
      </w:r>
      <w:r>
        <w:rPr>
          <w:rFonts w:hint="eastAsia" w:ascii="仿宋_GB2312" w:hAnsi="Century Gothic" w:eastAsia="仿宋_GB2312"/>
          <w:color w:val="000000"/>
          <w:sz w:val="32"/>
          <w:szCs w:val="32"/>
        </w:rPr>
        <w:t>号</w:t>
      </w:r>
    </w:p>
    <w:p>
      <w:pPr>
        <w:keepNext w:val="0"/>
        <w:keepLines w:val="0"/>
        <w:pageBreakBefore w:val="0"/>
        <w:widowControl/>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kinsoku/>
        <w:wordWrap/>
        <w:overflowPunct/>
        <w:topLinePunct w:val="0"/>
        <w:autoSpaceDE/>
        <w:autoSpaceDN/>
        <w:bidi w:val="0"/>
        <w:adjustRightInd w:val="0"/>
        <w:snapToGrid w:val="0"/>
        <w:spacing w:before="361" w:beforeLines="100" w:line="160" w:lineRule="exact"/>
        <w:ind w:right="23"/>
        <w:jc w:val="center"/>
        <w:textAlignment w:val="auto"/>
        <w:rPr>
          <w:rFonts w:ascii="宋体" w:hAnsi="宋体" w:eastAsia="宋体"/>
          <w:b/>
          <w:sz w:val="44"/>
          <w:szCs w:val="44"/>
        </w:rPr>
      </w:pPr>
      <w:r>
        <w:rPr>
          <w:rFonts w:ascii="Tahoma" w:hAnsi="Tahoma" w:eastAsia="微软雅黑" w:cs="黑体"/>
          <w:sz w:val="22"/>
          <w:szCs w:val="22"/>
          <w:lang w:val="en-US" w:eastAsia="zh-CN" w:bidi="ar-SA"/>
        </w:rPr>
        <mc:AlternateContent>
          <mc:Choice Requires="wps">
            <w:drawing>
              <wp:anchor distT="0" distB="0" distL="114300" distR="114300" simplePos="0" relativeHeight="251659264" behindDoc="0" locked="0" layoutInCell="0" allowOverlap="1">
                <wp:simplePos x="0" y="0"/>
                <wp:positionH relativeFrom="column">
                  <wp:posOffset>47625</wp:posOffset>
                </wp:positionH>
                <wp:positionV relativeFrom="paragraph">
                  <wp:posOffset>40640</wp:posOffset>
                </wp:positionV>
                <wp:extent cx="5303520" cy="21590"/>
                <wp:effectExtent l="0" t="13970" r="11430" b="21590"/>
                <wp:wrapNone/>
                <wp:docPr id="1" name="直线 2"/>
                <wp:cNvGraphicFramePr/>
                <a:graphic xmlns:a="http://schemas.openxmlformats.org/drawingml/2006/main">
                  <a:graphicData uri="http://schemas.microsoft.com/office/word/2010/wordprocessingShape">
                    <wps:wsp>
                      <wps:cNvCnPr/>
                      <wps:spPr>
                        <a:xfrm>
                          <a:off x="0" y="0"/>
                          <a:ext cx="5303520" cy="2159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75pt;margin-top:3.2pt;height:1.7pt;width:417.6pt;z-index:251659264;mso-width-relative:page;mso-height-relative:page;" filled="f" stroked="t" coordsize="21600,21600" o:allowincell="f" o:gfxdata="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J4OGtUAAAAFAQAADwAAAAAAAAABACAAAAAiAAAAZHJzL2Rvd25yZXYueG1sUEsBAhQAFAAAAAgA&#10;h07iQNAqtWvvAQAA4AMAAA4AAAAAAAAAAQAgAAAAJAEAAGRycy9lMm9Eb2MueG1sUEsFBgAAAAAG&#10;AAYAWQEAAIUFAAAAAA==&#10;">
                <v:fill on="f" focussize="0,0"/>
                <v:stroke weight="2.25pt" color="#FF0000" joinstyle="round"/>
                <v:imagedata o:title=""/>
                <o:lock v:ext="edit" aspectratio="f"/>
              </v:line>
            </w:pict>
          </mc:Fallback>
        </mc:AlternateContent>
      </w:r>
    </w:p>
    <w:p>
      <w:pPr>
        <w:spacing w:line="240" w:lineRule="auto"/>
        <w:jc w:val="center"/>
        <w:rPr>
          <w:rFonts w:hint="eastAsia" w:ascii="宋体" w:hAnsi="宋体" w:eastAsia="宋体" w:cs="宋体"/>
          <w:b/>
          <w:bCs/>
          <w:spacing w:val="20"/>
          <w:sz w:val="44"/>
          <w:szCs w:val="44"/>
        </w:rPr>
      </w:pPr>
      <w:r>
        <w:rPr>
          <w:rFonts w:hint="eastAsia" w:ascii="宋体" w:hAnsi="宋体" w:eastAsia="宋体" w:cs="宋体"/>
          <w:b/>
          <w:bCs/>
          <w:spacing w:val="20"/>
          <w:sz w:val="44"/>
          <w:szCs w:val="44"/>
        </w:rPr>
        <w:t>关于印发《</w:t>
      </w:r>
      <w:r>
        <w:rPr>
          <w:rFonts w:hint="eastAsia" w:ascii="宋体" w:hAnsi="宋体" w:eastAsia="宋体" w:cs="宋体"/>
          <w:b/>
          <w:bCs/>
          <w:spacing w:val="20"/>
          <w:sz w:val="44"/>
          <w:szCs w:val="44"/>
          <w:lang w:eastAsia="zh-CN"/>
        </w:rPr>
        <w:t>白沟新城</w:t>
      </w:r>
      <w:r>
        <w:rPr>
          <w:rFonts w:hint="eastAsia" w:ascii="宋体" w:hAnsi="宋体" w:eastAsia="宋体" w:cs="宋体"/>
          <w:b/>
          <w:bCs/>
          <w:spacing w:val="20"/>
          <w:sz w:val="44"/>
          <w:szCs w:val="44"/>
        </w:rPr>
        <w:t>财政衔接推进乡村振兴补助资金管理办法》的通知</w:t>
      </w:r>
    </w:p>
    <w:p>
      <w:pPr>
        <w:keepNext w:val="0"/>
        <w:keepLines w:val="0"/>
        <w:pageBreakBefore w:val="0"/>
        <w:widowControl/>
        <w:kinsoku/>
        <w:wordWrap/>
        <w:overflowPunct/>
        <w:topLinePunct w:val="0"/>
        <w:autoSpaceDE/>
        <w:autoSpaceDN/>
        <w:bidi w:val="0"/>
        <w:adjustRightInd w:val="0"/>
        <w:snapToGrid w:val="0"/>
        <w:spacing w:beforeLines="50" w:after="40" w:line="54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白沟镇人民政府、区有关部门：</w:t>
      </w:r>
    </w:p>
    <w:p>
      <w:pPr>
        <w:spacing w:line="240" w:lineRule="auto"/>
        <w:ind w:firstLine="720" w:firstLineChars="200"/>
        <w:jc w:val="left"/>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rPr>
        <w:t>为贯彻落实中央、省、市关于实现巩固拓展脱贫攻坚成果同乡村振兴有效接的指示精神,原财政专项扶贫资金更名为财政衔接推进乡村振兴补助资金,用于支持巩固拓展脱贫攻坚成果同乡村振兴有效衔接工作。为加强资金使用管理,提升资金使用效益,我们制定了《</w:t>
      </w:r>
      <w:r>
        <w:rPr>
          <w:rFonts w:hint="eastAsia" w:ascii="仿宋" w:hAnsi="仿宋" w:eastAsia="仿宋" w:cs="仿宋"/>
          <w:spacing w:val="20"/>
          <w:sz w:val="32"/>
          <w:szCs w:val="32"/>
          <w:lang w:eastAsia="zh-CN"/>
        </w:rPr>
        <w:t>白沟新城</w:t>
      </w:r>
      <w:r>
        <w:rPr>
          <w:rFonts w:hint="eastAsia" w:ascii="仿宋" w:hAnsi="仿宋" w:eastAsia="仿宋" w:cs="仿宋"/>
          <w:spacing w:val="20"/>
          <w:sz w:val="32"/>
          <w:szCs w:val="32"/>
        </w:rPr>
        <w:t>财政衔接推进乡村振兴补助资金管理办法》,现印发给你们,请遵照执行</w:t>
      </w:r>
      <w:r>
        <w:rPr>
          <w:rFonts w:hint="eastAsia" w:ascii="仿宋" w:hAnsi="仿宋" w:eastAsia="仿宋" w:cs="仿宋"/>
          <w:spacing w:val="2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beforeLines="50" w:after="40" w:line="540" w:lineRule="exact"/>
        <w:ind w:firstLine="640"/>
        <w:jc w:val="left"/>
        <w:textAlignment w:val="auto"/>
        <w:rPr>
          <w:rFonts w:hint="eastAsia" w:ascii="仿宋_GB2312" w:hAnsi="仿宋_GB2312" w:eastAsia="仿宋_GB2312" w:cs="仿宋_GB2312"/>
          <w:sz w:val="32"/>
          <w:szCs w:val="32"/>
          <w:lang w:eastAsia="zh-CN"/>
        </w:rPr>
      </w:pPr>
    </w:p>
    <w:p>
      <w:pPr>
        <w:spacing w:line="240" w:lineRule="auto"/>
        <w:jc w:val="left"/>
        <w:rPr>
          <w:rFonts w:hint="eastAsia" w:ascii="仿宋" w:hAnsi="仿宋" w:eastAsia="仿宋" w:cs="仿宋"/>
          <w:spacing w:val="20"/>
          <w:sz w:val="52"/>
          <w:szCs w:val="52"/>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附件:</w:t>
      </w:r>
      <w:r>
        <w:rPr>
          <w:rFonts w:hint="eastAsia" w:ascii="仿宋" w:hAnsi="仿宋" w:eastAsia="仿宋" w:cs="仿宋"/>
          <w:w w:val="90"/>
          <w:sz w:val="32"/>
          <w:szCs w:val="32"/>
          <w:lang w:val="en-US" w:eastAsia="zh-CN"/>
        </w:rPr>
        <w:t>白沟新城财政衔接推进乡村振兴补助资金管理办法</w:t>
      </w:r>
    </w:p>
    <w:p>
      <w:pPr>
        <w:keepNext w:val="0"/>
        <w:keepLines w:val="0"/>
        <w:pageBreakBefore w:val="0"/>
        <w:widowControl/>
        <w:kinsoku/>
        <w:wordWrap/>
        <w:overflowPunct/>
        <w:topLinePunct w:val="0"/>
        <w:autoSpaceDE/>
        <w:bidi w:val="0"/>
        <w:adjustRightInd w:val="0"/>
        <w:snapToGrid w:val="0"/>
        <w:spacing w:line="540" w:lineRule="exact"/>
        <w:jc w:val="left"/>
        <w:textAlignment w:val="auto"/>
        <w:rPr>
          <w:rFonts w:hint="eastAsia" w:ascii="仿宋" w:hAnsi="仿宋" w:eastAsia="仿宋" w:cs="仿宋"/>
          <w:w w:val="8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Lines="50" w:after="40" w:line="540" w:lineRule="exact"/>
        <w:jc w:val="distribute"/>
        <w:textAlignment w:val="auto"/>
        <w:rPr>
          <w:rFonts w:hint="eastAsia" w:ascii="仿宋" w:hAnsi="仿宋" w:eastAsia="仿宋" w:cs="仿宋"/>
          <w:w w:val="80"/>
          <w:sz w:val="32"/>
          <w:szCs w:val="32"/>
          <w:lang w:val="en-US" w:eastAsia="zh-CN"/>
        </w:rPr>
      </w:pPr>
      <w:r>
        <w:rPr>
          <w:rFonts w:hint="eastAsia" w:ascii="仿宋" w:hAnsi="仿宋" w:eastAsia="仿宋" w:cs="仿宋"/>
          <w:w w:val="80"/>
          <w:sz w:val="32"/>
          <w:szCs w:val="32"/>
          <w:lang w:val="en-US" w:eastAsia="zh-CN"/>
        </w:rPr>
        <w:t xml:space="preserve">保定白沟新城财政局     </w:t>
      </w:r>
      <w:r>
        <w:rPr>
          <w:rFonts w:hint="eastAsia" w:ascii="仿宋" w:hAnsi="仿宋" w:eastAsia="仿宋" w:cs="仿宋"/>
          <w:w w:val="80"/>
          <w:sz w:val="32"/>
          <w:szCs w:val="32"/>
          <w:lang w:eastAsia="zh-CN"/>
        </w:rPr>
        <w:t>保定白沟新城白沟镇人民政府</w:t>
      </w:r>
      <w:r>
        <w:rPr>
          <w:rFonts w:hint="eastAsia" w:ascii="仿宋" w:hAnsi="仿宋" w:eastAsia="仿宋" w:cs="仿宋"/>
          <w:w w:val="80"/>
          <w:sz w:val="32"/>
          <w:szCs w:val="32"/>
        </w:rPr>
        <w:t xml:space="preserve"> </w:t>
      </w:r>
      <w:r>
        <w:rPr>
          <w:rFonts w:hint="eastAsia" w:ascii="仿宋" w:hAnsi="仿宋" w:eastAsia="仿宋" w:cs="仿宋"/>
          <w:w w:val="8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Lines="50" w:after="40" w:line="540" w:lineRule="exact"/>
        <w:jc w:val="center"/>
        <w:textAlignment w:val="auto"/>
        <w:rPr>
          <w:rFonts w:hint="eastAsia" w:ascii="仿宋" w:hAnsi="仿宋" w:eastAsia="仿宋" w:cs="仿宋"/>
          <w:w w:val="80"/>
          <w:sz w:val="32"/>
          <w:szCs w:val="32"/>
          <w:lang w:val="en-US" w:eastAsia="zh-CN"/>
        </w:rPr>
      </w:pPr>
      <w:r>
        <w:rPr>
          <w:rFonts w:hint="eastAsia" w:ascii="仿宋" w:hAnsi="仿宋" w:eastAsia="仿宋" w:cs="仿宋"/>
          <w:w w:val="80"/>
          <w:sz w:val="32"/>
          <w:szCs w:val="32"/>
          <w:lang w:val="en-US" w:eastAsia="zh-CN"/>
        </w:rPr>
        <w:t xml:space="preserve">                                   2021年5月10日</w:t>
      </w:r>
    </w:p>
    <w:p>
      <w:pPr>
        <w:spacing w:line="560" w:lineRule="exact"/>
        <w:jc w:val="both"/>
        <w:rPr>
          <w:rFonts w:hint="default" w:ascii="仿宋" w:hAnsi="仿宋" w:eastAsia="仿宋" w:cs="仿宋"/>
          <w:b w:val="0"/>
          <w:bCs w:val="0"/>
          <w:sz w:val="32"/>
          <w:szCs w:val="32"/>
          <w:lang w:val="en-US" w:eastAsia="zh-CN"/>
        </w:rPr>
      </w:pPr>
    </w:p>
    <w:p>
      <w:pPr>
        <w:spacing w:line="560" w:lineRule="exact"/>
        <w:jc w:val="both"/>
        <w:rPr>
          <w:rFonts w:hint="default" w:ascii="仿宋" w:hAnsi="仿宋" w:eastAsia="仿宋" w:cs="仿宋"/>
          <w:b w:val="0"/>
          <w:bCs w:val="0"/>
          <w:sz w:val="32"/>
          <w:szCs w:val="32"/>
          <w:lang w:val="en-US" w:eastAsia="zh-CN"/>
        </w:rPr>
      </w:pPr>
    </w:p>
    <w:p>
      <w:pPr>
        <w:spacing w:line="560" w:lineRule="exact"/>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附件</w:t>
      </w:r>
    </w:p>
    <w:p>
      <w:pPr>
        <w:spacing w:line="240" w:lineRule="auto"/>
        <w:jc w:val="center"/>
        <w:rPr>
          <w:rFonts w:hint="eastAsia" w:ascii="宋体" w:hAnsi="宋体" w:eastAsia="宋体" w:cs="宋体"/>
          <w:b/>
          <w:bCs/>
          <w:spacing w:val="20"/>
          <w:sz w:val="32"/>
          <w:szCs w:val="32"/>
        </w:rPr>
      </w:pPr>
      <w:r>
        <w:rPr>
          <w:rFonts w:hint="eastAsia" w:ascii="宋体" w:hAnsi="宋体" w:eastAsia="宋体" w:cs="宋体"/>
          <w:b/>
          <w:bCs/>
          <w:spacing w:val="20"/>
          <w:sz w:val="32"/>
          <w:szCs w:val="32"/>
          <w:lang w:eastAsia="zh-CN"/>
        </w:rPr>
        <w:t>白沟新城</w:t>
      </w:r>
      <w:r>
        <w:rPr>
          <w:rFonts w:hint="eastAsia" w:ascii="宋体" w:hAnsi="宋体" w:eastAsia="宋体" w:cs="宋体"/>
          <w:b/>
          <w:bCs/>
          <w:spacing w:val="20"/>
          <w:sz w:val="32"/>
          <w:szCs w:val="32"/>
        </w:rPr>
        <w:t>财政衔接推进乡村振兴补助资金管理办法</w:t>
      </w:r>
    </w:p>
    <w:p>
      <w:pPr>
        <w:spacing w:line="240" w:lineRule="auto"/>
        <w:jc w:val="center"/>
        <w:rPr>
          <w:rFonts w:hint="eastAsia" w:ascii="宋体" w:hAnsi="宋体" w:eastAsia="宋体" w:cs="宋体"/>
          <w:b/>
          <w:bCs/>
          <w:spacing w:val="20"/>
          <w:sz w:val="32"/>
          <w:szCs w:val="32"/>
        </w:rPr>
      </w:pPr>
      <w:r>
        <w:rPr>
          <w:rFonts w:hint="eastAsia" w:ascii="宋体" w:hAnsi="宋体" w:eastAsia="宋体" w:cs="宋体"/>
          <w:b/>
          <w:bCs/>
          <w:spacing w:val="20"/>
          <w:sz w:val="32"/>
          <w:szCs w:val="32"/>
        </w:rPr>
        <w:t>第一章总则</w:t>
      </w:r>
    </w:p>
    <w:p>
      <w:pPr>
        <w:spacing w:line="240" w:lineRule="auto"/>
        <w:ind w:firstLine="640" w:firstLineChars="200"/>
        <w:jc w:val="left"/>
        <w:rPr>
          <w:rFonts w:hint="default" w:ascii="仿宋_GB2312" w:hAnsi="宋体" w:eastAsia="仿宋_GB2312" w:cs="仿宋_GB2312"/>
          <w:i w:val="0"/>
          <w:iCs w:val="0"/>
          <w:caps w:val="0"/>
          <w:color w:val="000000"/>
          <w:spacing w:val="0"/>
          <w:sz w:val="32"/>
          <w:szCs w:val="32"/>
          <w:shd w:val="clear" w:fill="FFFFFF"/>
        </w:rPr>
      </w:pPr>
      <w:r>
        <w:rPr>
          <w:rFonts w:ascii="黑体" w:hAnsi="宋体" w:eastAsia="黑体" w:cs="黑体"/>
          <w:i w:val="0"/>
          <w:iCs w:val="0"/>
          <w:caps w:val="0"/>
          <w:color w:val="000000"/>
          <w:spacing w:val="0"/>
          <w:sz w:val="32"/>
          <w:szCs w:val="32"/>
          <w:shd w:val="clear" w:fill="FFFFFF"/>
        </w:rPr>
        <w:t>第一条</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fill="FFFFFF"/>
        </w:rPr>
        <w:t>为加强过度期财政衔接推进乡村振兴补助资金（以下简称衔接资金）管理，提高资金使用效益，依据《中华人民共和国预算法》《河北省财政衔接推进乡村振兴补助资金管理办法》</w:t>
      </w:r>
      <w:r>
        <w:rPr>
          <w:rFonts w:hint="default" w:ascii="仿宋_GB2312" w:hAnsi="宋体" w:eastAsia="仿宋_GB2312" w:cs="仿宋_GB2312"/>
          <w:i w:val="0"/>
          <w:iCs w:val="0"/>
          <w:caps w:val="0"/>
          <w:color w:val="000000"/>
          <w:spacing w:val="0"/>
          <w:sz w:val="32"/>
          <w:szCs w:val="32"/>
          <w:shd w:val="clear" w:fill="FFFFFF"/>
          <w:lang w:val="en-US"/>
        </w:rPr>
        <w:t>(</w:t>
      </w:r>
      <w:r>
        <w:rPr>
          <w:rFonts w:hint="default" w:ascii="仿宋_GB2312" w:hAnsi="宋体" w:eastAsia="仿宋_GB2312" w:cs="仿宋_GB2312"/>
          <w:i w:val="0"/>
          <w:iCs w:val="0"/>
          <w:caps w:val="0"/>
          <w:color w:val="000000"/>
          <w:spacing w:val="0"/>
          <w:sz w:val="32"/>
          <w:szCs w:val="32"/>
          <w:shd w:val="clear" w:fill="FFFFFF"/>
        </w:rPr>
        <w:t>冀财农</w:t>
      </w:r>
      <w:r>
        <w:rPr>
          <w:rFonts w:hint="default" w:ascii="仿宋_GB2312" w:hAnsi="宋体" w:eastAsia="仿宋_GB2312" w:cs="仿宋_GB2312"/>
          <w:i w:val="0"/>
          <w:iCs w:val="0"/>
          <w:caps w:val="0"/>
          <w:color w:val="000000"/>
          <w:spacing w:val="0"/>
          <w:sz w:val="32"/>
          <w:szCs w:val="32"/>
          <w:shd w:val="clear" w:fill="FFFFFF"/>
          <w:lang w:val="en-US"/>
        </w:rPr>
        <w:t>[2021]26</w:t>
      </w:r>
      <w:r>
        <w:rPr>
          <w:rFonts w:hint="default" w:ascii="仿宋_GB2312" w:hAnsi="宋体" w:eastAsia="仿宋_GB2312" w:cs="仿宋_GB2312"/>
          <w:i w:val="0"/>
          <w:iCs w:val="0"/>
          <w:caps w:val="0"/>
          <w:color w:val="000000"/>
          <w:spacing w:val="0"/>
          <w:sz w:val="32"/>
          <w:szCs w:val="32"/>
          <w:shd w:val="clear" w:fill="FFFFFF"/>
        </w:rPr>
        <w:t>号</w:t>
      </w:r>
      <w:r>
        <w:rPr>
          <w:rFonts w:hint="default" w:ascii="仿宋_GB2312" w:hAnsi="宋体" w:eastAsia="仿宋_GB2312" w:cs="仿宋_GB2312"/>
          <w:i w:val="0"/>
          <w:iCs w:val="0"/>
          <w:caps w:val="0"/>
          <w:color w:val="000000"/>
          <w:spacing w:val="0"/>
          <w:sz w:val="32"/>
          <w:szCs w:val="32"/>
          <w:shd w:val="clear" w:fill="FFFFFF"/>
          <w:lang w:val="en-US"/>
        </w:rPr>
        <w:t>)</w:t>
      </w:r>
      <w:r>
        <w:rPr>
          <w:rFonts w:hint="default" w:ascii="仿宋_GB2312" w:hAnsi="宋体" w:eastAsia="仿宋_GB2312" w:cs="仿宋_GB2312"/>
          <w:i w:val="0"/>
          <w:iCs w:val="0"/>
          <w:caps w:val="0"/>
          <w:color w:val="000000"/>
          <w:spacing w:val="0"/>
          <w:sz w:val="32"/>
          <w:szCs w:val="32"/>
          <w:shd w:val="clear" w:fill="FFFFFF"/>
        </w:rPr>
        <w:t>和《保定市财政衔接推进乡村振兴补助资金管理办法》</w:t>
      </w:r>
      <w:r>
        <w:rPr>
          <w:rFonts w:hint="default" w:ascii="仿宋_GB2312" w:hAnsi="宋体" w:eastAsia="仿宋_GB2312" w:cs="仿宋_GB2312"/>
          <w:i w:val="0"/>
          <w:iCs w:val="0"/>
          <w:caps w:val="0"/>
          <w:color w:val="000000"/>
          <w:spacing w:val="0"/>
          <w:sz w:val="32"/>
          <w:szCs w:val="32"/>
          <w:shd w:val="clear" w:fill="FFFFFF"/>
          <w:lang w:val="en-US"/>
        </w:rPr>
        <w:t>(</w:t>
      </w:r>
      <w:r>
        <w:rPr>
          <w:rFonts w:hint="default" w:ascii="仿宋_GB2312" w:hAnsi="宋体" w:eastAsia="仿宋_GB2312" w:cs="仿宋_GB2312"/>
          <w:i w:val="0"/>
          <w:iCs w:val="0"/>
          <w:caps w:val="0"/>
          <w:color w:val="000000"/>
          <w:spacing w:val="0"/>
          <w:sz w:val="32"/>
          <w:szCs w:val="32"/>
          <w:shd w:val="clear" w:fill="FFFFFF"/>
        </w:rPr>
        <w:t>保财农</w:t>
      </w:r>
      <w:r>
        <w:rPr>
          <w:rFonts w:hint="default" w:ascii="仿宋_GB2312" w:hAnsi="宋体" w:eastAsia="仿宋_GB2312" w:cs="仿宋_GB2312"/>
          <w:i w:val="0"/>
          <w:iCs w:val="0"/>
          <w:caps w:val="0"/>
          <w:color w:val="000000"/>
          <w:spacing w:val="0"/>
          <w:sz w:val="32"/>
          <w:szCs w:val="32"/>
          <w:shd w:val="clear" w:fill="FFFFFF"/>
          <w:lang w:val="en-US"/>
        </w:rPr>
        <w:t>[2021]18</w:t>
      </w:r>
      <w:r>
        <w:rPr>
          <w:rFonts w:hint="default" w:ascii="仿宋_GB2312" w:hAnsi="宋体" w:eastAsia="仿宋_GB2312" w:cs="仿宋_GB2312"/>
          <w:i w:val="0"/>
          <w:iCs w:val="0"/>
          <w:caps w:val="0"/>
          <w:color w:val="000000"/>
          <w:spacing w:val="0"/>
          <w:sz w:val="32"/>
          <w:szCs w:val="32"/>
          <w:shd w:val="clear" w:fill="FFFFFF"/>
        </w:rPr>
        <w:t>号</w:t>
      </w:r>
      <w:r>
        <w:rPr>
          <w:rFonts w:hint="default" w:ascii="仿宋_GB2312" w:hAnsi="宋体" w:eastAsia="仿宋_GB2312" w:cs="仿宋_GB2312"/>
          <w:i w:val="0"/>
          <w:iCs w:val="0"/>
          <w:caps w:val="0"/>
          <w:color w:val="000000"/>
          <w:spacing w:val="0"/>
          <w:sz w:val="32"/>
          <w:szCs w:val="32"/>
          <w:shd w:val="clear" w:fill="FFFFFF"/>
          <w:lang w:val="en-US"/>
        </w:rPr>
        <w:t>)</w:t>
      </w:r>
      <w:r>
        <w:rPr>
          <w:rFonts w:hint="default" w:ascii="仿宋_GB2312" w:hAnsi="宋体" w:eastAsia="仿宋_GB2312" w:cs="仿宋_GB2312"/>
          <w:i w:val="0"/>
          <w:iCs w:val="0"/>
          <w:caps w:val="0"/>
          <w:color w:val="000000"/>
          <w:spacing w:val="0"/>
          <w:sz w:val="32"/>
          <w:szCs w:val="32"/>
          <w:shd w:val="clear" w:fill="FFFFFF"/>
        </w:rPr>
        <w:t>，以及国家有关衔接推进乡村振兴相关方针政策，结合我区</w:t>
      </w:r>
      <w:r>
        <w:rPr>
          <w:rFonts w:hint="eastAsia" w:ascii="仿宋_GB2312" w:hAnsi="宋体" w:eastAsia="仿宋_GB2312" w:cs="仿宋_GB2312"/>
          <w:i w:val="0"/>
          <w:iCs w:val="0"/>
          <w:caps w:val="0"/>
          <w:color w:val="000000"/>
          <w:spacing w:val="0"/>
          <w:sz w:val="32"/>
          <w:szCs w:val="32"/>
          <w:shd w:val="clear" w:fill="FFFFFF"/>
          <w:lang w:eastAsia="zh-CN"/>
        </w:rPr>
        <w:t>实际</w:t>
      </w:r>
      <w:r>
        <w:rPr>
          <w:rFonts w:hint="default" w:ascii="仿宋_GB2312" w:hAnsi="宋体" w:eastAsia="仿宋_GB2312" w:cs="仿宋_GB2312"/>
          <w:i w:val="0"/>
          <w:iCs w:val="0"/>
          <w:caps w:val="0"/>
          <w:color w:val="000000"/>
          <w:spacing w:val="0"/>
          <w:sz w:val="32"/>
          <w:szCs w:val="32"/>
          <w:shd w:val="clear" w:fill="FFFFFF"/>
        </w:rPr>
        <w:t>，制定本办法。</w:t>
      </w:r>
    </w:p>
    <w:p>
      <w:pPr>
        <w:spacing w:line="240" w:lineRule="auto"/>
        <w:ind w:firstLine="640" w:firstLineChars="200"/>
        <w:jc w:val="left"/>
        <w:rPr>
          <w:rFonts w:hint="default" w:ascii="仿宋_GB2312" w:hAnsi="宋体" w:eastAsia="仿宋_GB2312" w:cs="仿宋_GB2312"/>
          <w:i w:val="0"/>
          <w:iCs w:val="0"/>
          <w:caps w:val="0"/>
          <w:color w:val="000000"/>
          <w:spacing w:val="0"/>
          <w:sz w:val="32"/>
          <w:szCs w:val="32"/>
          <w:shd w:val="clear" w:fill="FFFFFF"/>
        </w:rPr>
      </w:pPr>
      <w:r>
        <w:rPr>
          <w:rFonts w:ascii="黑体" w:hAnsi="宋体" w:eastAsia="黑体" w:cs="黑体"/>
          <w:i w:val="0"/>
          <w:iCs w:val="0"/>
          <w:caps w:val="0"/>
          <w:color w:val="000000"/>
          <w:spacing w:val="0"/>
          <w:sz w:val="32"/>
          <w:szCs w:val="32"/>
          <w:shd w:val="clear" w:fill="FFFFFF"/>
        </w:rPr>
        <w:t>第二条</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fill="FFFFFF"/>
        </w:rPr>
        <w:t>本办法所称衔接资金是区财政预算安排用于支持</w:t>
      </w:r>
      <w:r>
        <w:rPr>
          <w:rFonts w:hint="eastAsia" w:ascii="仿宋_GB2312" w:hAnsi="宋体" w:eastAsia="仿宋_GB2312" w:cs="仿宋_GB2312"/>
          <w:i w:val="0"/>
          <w:iCs w:val="0"/>
          <w:caps w:val="0"/>
          <w:color w:val="000000"/>
          <w:spacing w:val="0"/>
          <w:sz w:val="32"/>
          <w:szCs w:val="32"/>
          <w:shd w:val="clear" w:fill="FFFFFF"/>
          <w:lang w:eastAsia="zh-CN"/>
        </w:rPr>
        <w:t>巩固</w:t>
      </w:r>
      <w:r>
        <w:rPr>
          <w:rFonts w:hint="default" w:ascii="仿宋_GB2312" w:hAnsi="宋体" w:eastAsia="仿宋_GB2312" w:cs="仿宋_GB2312"/>
          <w:i w:val="0"/>
          <w:iCs w:val="0"/>
          <w:caps w:val="0"/>
          <w:color w:val="000000"/>
          <w:spacing w:val="0"/>
          <w:sz w:val="32"/>
          <w:szCs w:val="32"/>
          <w:shd w:val="clear" w:fill="FFFFFF"/>
        </w:rPr>
        <w:t>拓展脱贫攻坚成果同乡村振兴有效衔接的资金。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right="0"/>
        <w:jc w:val="center"/>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t>第二章资金安排和使用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根据中央、省、市有关政策，结合我区巩固拓展脱贫攻坚成果同乡村振兴有效衔接的任务需要及财力情况，每年预算安排一定规模的本级衔接资金，保持投入力度总体稳定。</w:t>
      </w:r>
    </w:p>
    <w:p>
      <w:pPr>
        <w:spacing w:line="240" w:lineRule="auto"/>
        <w:ind w:firstLine="640" w:firstLineChars="200"/>
        <w:jc w:val="left"/>
        <w:rPr>
          <w:rFonts w:hint="default" w:ascii="仿宋_GB2312" w:hAnsi="宋体" w:eastAsia="仿宋_GB2312" w:cs="仿宋_GB2312"/>
          <w:i w:val="0"/>
          <w:iCs w:val="0"/>
          <w:caps w:val="0"/>
          <w:color w:val="000000"/>
          <w:spacing w:val="0"/>
          <w:sz w:val="32"/>
          <w:szCs w:val="32"/>
          <w:shd w:val="clear" w:fill="FFFFFF"/>
          <w:lang w:val="en-US"/>
        </w:rPr>
      </w:pPr>
      <w:r>
        <w:rPr>
          <w:rFonts w:ascii="黑体" w:hAnsi="宋体" w:eastAsia="黑体" w:cs="黑体"/>
          <w:i w:val="0"/>
          <w:iCs w:val="0"/>
          <w:caps w:val="0"/>
          <w:color w:val="000000"/>
          <w:spacing w:val="0"/>
          <w:sz w:val="32"/>
          <w:szCs w:val="32"/>
          <w:shd w:val="clear" w:fill="FFFFFF"/>
        </w:rPr>
        <w:t>第四条</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ascii="仿宋_GB2312" w:hAnsi="宋体" w:eastAsia="仿宋_GB2312" w:cs="仿宋_GB2312"/>
          <w:i w:val="0"/>
          <w:iCs w:val="0"/>
          <w:caps w:val="0"/>
          <w:color w:val="000000"/>
          <w:spacing w:val="0"/>
          <w:sz w:val="32"/>
          <w:szCs w:val="32"/>
          <w:shd w:val="clear" w:fill="FFFFFF"/>
        </w:rPr>
        <w:t>衔接资金应当统筹安排使用，形成合力，主要用于支持以下三个方面</w:t>
      </w:r>
      <w:r>
        <w:rPr>
          <w:rFonts w:hint="default" w:ascii="仿宋_GB2312" w:hAnsi="宋体" w:eastAsia="仿宋_GB2312" w:cs="仿宋_GB2312"/>
          <w:i w:val="0"/>
          <w:iCs w:val="0"/>
          <w:caps w:val="0"/>
          <w:color w:val="000000"/>
          <w:spacing w:val="0"/>
          <w:sz w:val="32"/>
          <w:szCs w:val="32"/>
          <w:shd w:val="clear" w:fill="FFFFFF"/>
          <w:lang w:val="en-US"/>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ascii="微软雅黑" w:hAnsi="微软雅黑" w:eastAsia="微软雅黑" w:cs="微软雅黑"/>
          <w:i w:val="0"/>
          <w:iCs w:val="0"/>
          <w:caps w:val="0"/>
          <w:color w:val="000000"/>
          <w:spacing w:val="0"/>
          <w:sz w:val="21"/>
          <w:szCs w:val="21"/>
        </w:rPr>
      </w:pPr>
      <w:r>
        <w:rPr>
          <w:rFonts w:ascii="楷体_GB2312" w:hAnsi="微软雅黑" w:eastAsia="楷体_GB2312" w:cs="楷体_GB2312"/>
          <w:b/>
          <w:bCs/>
          <w:i w:val="0"/>
          <w:iCs w:val="0"/>
          <w:caps w:val="0"/>
          <w:color w:val="000000"/>
          <w:spacing w:val="0"/>
          <w:kern w:val="0"/>
          <w:sz w:val="32"/>
          <w:szCs w:val="32"/>
          <w:shd w:val="clear" w:fill="FFFFFF"/>
          <w:lang w:val="en-US" w:eastAsia="zh-CN" w:bidi="ar"/>
        </w:rPr>
        <w:t>（一）支持巩固拓展脱贫攻坚成果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ascii="仿宋_GB2312" w:hAnsi="微软雅黑" w:eastAsia="仿宋_GB2312" w:cs="仿宋_GB2312"/>
          <w:i w:val="0"/>
          <w:iCs w:val="0"/>
          <w:caps w:val="0"/>
          <w:color w:val="000000"/>
          <w:spacing w:val="0"/>
          <w:kern w:val="0"/>
          <w:sz w:val="32"/>
          <w:szCs w:val="32"/>
          <w:shd w:val="clear" w:fill="FFFFFF"/>
          <w:lang w:val="en-US" w:eastAsia="zh-CN" w:bidi="ar"/>
        </w:rPr>
        <w:t> 1.</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健全防止返贫致贫监测和帮扶机制，加强监测</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预警</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强化及时帮扶，对监测帮扶对象采取有针对性的预防性措施和事后帮扶措施。可安排产业发展、小额信贷贴息、生产经营和劳动技能培训、公益岗位补助等支出。低保、医保、养老保险、临时救助等综合保障措施，通过原资金渠道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2.脱贫劳动力(含监测帮扶对象)稳定就业。可对跨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就业的脱贫劳动力适当安排一次性交通补助，区级衔接资金可对发生交通费用的跨市跨县务工脱贫劳动力适当安排一次性交通补助。采取以工代赈、生产奖补、劳务补助、技能培训、小额信贷贴息等方式，促进返乡在乡脱贫劳动力发展产业和就业增收。继续向符合条件的脱贫家庭(含监测帮扶对象家庭)安排“雨露计划”补助。区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衔接</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资金对吸纳脱贫劳动力就业的经营主体给予适当生产补贴、稳岗补贴等。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（二）支持衔接推进乡村振兴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1.培育和壮大特色优势产业并逐年提高资金占比。支持农业品种培优、品质提升、品牌打造，包括种植、养殖、手工业、农产品加工等县域特色产业发展；仓储保鲜、冷链物流等产业链建设；引进优良品种、先进技术等补助；申请认证绿色食品、有机农产品、地理标志农产品等费用补助；现代农业产业园、科技园、产业融合发展示范园，优势特色产业集群，农业产业强镇等建设。推动产销对接和消费帮扶，解决农产品“卖难”问题，包括开展产销对接活动的费用补助，农产品流通企业、电商、批发市场与区域特色产业精准对接补助等。支持必要的产业配套基础设施建设。支持村级发展壮大村级集体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补齐必要的农村人居环境整治和小型公益性基础设施建设短板。主要包括水、电、路、网等农业生产配套设施；村街道路(含通村路)建设、路灯、村容村貌等生活环境治理提升；垃圾清运、污水处理等小型公益性生活设施建设维护。教育、卫生、养老服务、文化等农村基本公共服务通过原资金渠道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（三）巩固拓展脱贫攻坚成果同乡村振兴有效衔接的其他相关支出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kern w:val="0"/>
          <w:sz w:val="32"/>
          <w:szCs w:val="32"/>
          <w:shd w:val="clear" w:fill="FFFFFF"/>
          <w:lang w:val="en-US" w:eastAsia="zh-CN" w:bidi="ar"/>
        </w:rPr>
        <w:t>第五条</w:t>
      </w:r>
      <w:r>
        <w:rPr>
          <w:rFonts w:hint="eastAsia" w:ascii="黑体" w:hAnsi="宋体" w:eastAsia="黑体" w:cs="黑体"/>
          <w:i w:val="0"/>
          <w:iCs w:val="0"/>
          <w:caps w:val="0"/>
          <w:color w:val="000000"/>
          <w:spacing w:val="0"/>
          <w:kern w:val="0"/>
          <w:sz w:val="32"/>
          <w:szCs w:val="32"/>
          <w:shd w:val="clear" w:fill="FFFFFF"/>
          <w:lang w:val="en-US" w:eastAsia="zh-CN" w:bidi="ar"/>
        </w:rPr>
        <w:t xml:space="preserve">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衔接资金不得用于与巩固拓展脱贫攻坚成果和推进乡村振兴无关的支出：包括单位基本支出、交通工具及通讯设备、修建楼堂馆所、各种奖金津贴和福利补助、偿还债务和垫资等。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第六条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衔接资金项目审批由</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管委会</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负责，由区级确定具体项目和补助标准。支持采取以工代赈方式组织实施农业农村基础设施建设项目。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第七条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区项目主管部门要建立完善巩固拓展脱贫攻坚成果和乡村振兴项目库，提前做好项目储备，严格项目论证入库，除特殊情况经</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管委会</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批准外，街接资金支持的项目要从项目库选择。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第八条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区财政部门收到上级衔接资金文件后，应及时书面通知同级项目主管部门；区项目主管部门应及时从项目库中选取项目，拟定资金使用计划或分配建议方案报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管委会</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审批后加快衔接资金执行，提高资金使用效益。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第九条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衔接资金的支付管理，按照财政国库管理有关规定执行。属于政府采购、招投标管理范围的，执行相关法律、法规及制度规定。村级微小型项目可按照村民民主议事方式直接委托村级组织自建自营。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right="0"/>
        <w:jc w:val="center"/>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t>第三章资金管理和监督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第十条</w:t>
      </w:r>
      <w:r>
        <w:rPr>
          <w:rFonts w:ascii="仿宋_GB2312" w:hAnsi="微软雅黑" w:eastAsia="仿宋_GB2312" w:cs="仿宋_GB2312"/>
          <w:i w:val="0"/>
          <w:iCs w:val="0"/>
          <w:caps w:val="0"/>
          <w:color w:val="000000"/>
          <w:spacing w:val="0"/>
          <w:kern w:val="0"/>
          <w:sz w:val="32"/>
          <w:szCs w:val="32"/>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与衔接资金使用管理业务相关的项目主管部门根据以下职责分工履行资金使用管理职责：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（一）财政部门负责预算安排、确定资金分配方案和下达资金，指导项目主管部门加强资金监管</w:t>
      </w:r>
      <w:bookmarkStart w:id="0" w:name="_GoBack"/>
      <w:bookmarkEnd w:id="0"/>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和绩效管理。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（二）项目主管部门负责提出资金使用建议方案、资金和项目使用管理、绩效管理、监督管理等工作，按照权责对等原则落实监管责任。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第十一条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衔接资金实行绩效评价制度。财政部门负责制定衔接资金绩效评价办法，组织开展绩效评价。项目主管部门按照职能负责细化明确本部门绩效目标、绩效指标和评价标准，按要求开展绩效自评。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第十二条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全面推行公开公示制度。推进政务公开，资金政策、管理制度、资金分配结果等信息及时向社会公开，接受社会监督。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项目主管部门应按照政府信息公开的有关规定，健全衔接资金的使用、监督检查、绩效评价等情况的信息公开机制，在本级政府网站、报纸等新闻媒体公示当年审批的年度衔接资金项目实施计划，自觉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项目实施单位要利用公开栏(墙)、项目标志牌、会议及告示、手册等形式将本年度衔接资金的投资规模、资金来源、资金用途、收益对象、补助标准、补助环节完成情况，在项目实施地进行事前、事后公告公示，确保群众的知情权，接受群众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衔接资金对脱贫人口(含监测帮扶对象)给予的相关补助，在所在行政村进行公告、公示。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第十三条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财政</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部门</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和项目主管部门按要求配合财政部河北监管局和审计、纪检监察、检察机关等做好衔接资金和项目的审计、检查等工作。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第十四条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建立完善衔接资金社会监督机制。引导和鼓励贫困群众、第三方组织等社会力量参与监督，构建常态化、多元化监督体系。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（一）项目主管部门在具体项目立项、实施过程管理、竣工验收和资金使用管理过程中，应吸收受益地村干部（不少于2人）、群众代表（不少于3人）、包村干部（驻村工作队）参与。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（二）项目主管部门可根据项目实际需要，聘请有资质的会计事务所等中介机构，对衔接资金和项目进行绩效评估、竣工结算（决算）审计等。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三）鼓励社会公众对衔接资金使用管理进行监督和投诉举报。对群众投诉和举报事项，原则上应在60日内处理完毕；情况复杂的，经受理单位负责人批准，可以适当延长办理期限，但延长期限不得超过30日，并告知投诉或举报群众延期理由。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第十五条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财政和项目主管部门及其工作人员在衔接资金分配、使用管理等工作中，存在违反本办法规定，以及滥用职权、玩忽职守、徇私舞弊等违法违纪行为的，按照《中华人民共和国预算法》《中华人民共和国公务员法》《中华人民共和国行政监察法》《财政违法行为处罚处分条例》等有关规定追究相应责任;涉嫌犯罪的，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spacing w:val="20"/>
          <w:sz w:val="32"/>
          <w:szCs w:val="32"/>
          <w:lang w:val="en-US" w:eastAsia="zh-CN" w:bidi="ar-SA"/>
        </w:rPr>
      </w:pPr>
      <w:r>
        <w:rPr>
          <w:rFonts w:hint="eastAsia" w:ascii="宋体" w:hAnsi="宋体" w:eastAsia="宋体" w:cs="宋体"/>
          <w:b/>
          <w:bCs/>
          <w:spacing w:val="20"/>
          <w:sz w:val="32"/>
          <w:szCs w:val="32"/>
          <w:lang w:val="en-US" w:eastAsia="zh-CN" w:bidi="ar-SA"/>
        </w:rPr>
        <w:t>第四章附则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第十六条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此办法由区财政局会同区扶贫办、</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白沟镇</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农业农村</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办</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2" w:lineRule="atLeast"/>
        <w:ind w:right="0" w:firstLine="640" w:firstLineChars="200"/>
        <w:rPr>
          <w:rFonts w:hint="eastAsia" w:ascii="仿宋_GB2312" w:hAnsi="微软雅黑"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第十七条</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hint="default" w:ascii="仿宋_GB2312" w:hAnsi="微软雅黑" w:eastAsia="仿宋_GB2312" w:cs="仿宋_GB2312"/>
          <w:i w:val="0"/>
          <w:iCs w:val="0"/>
          <w:caps w:val="0"/>
          <w:color w:val="000000"/>
          <w:spacing w:val="0"/>
          <w:sz w:val="32"/>
          <w:szCs w:val="32"/>
          <w:shd w:val="clear" w:fill="FFFFFF"/>
        </w:rPr>
        <w:t>本办法自印发之日起执行，有效期</w:t>
      </w:r>
      <w:r>
        <w:rPr>
          <w:rFonts w:hint="default" w:ascii="仿宋_GB2312" w:hAnsi="微软雅黑" w:eastAsia="仿宋_GB2312" w:cs="仿宋_GB2312"/>
          <w:i w:val="0"/>
          <w:iCs w:val="0"/>
          <w:caps w:val="0"/>
          <w:color w:val="000000"/>
          <w:spacing w:val="0"/>
          <w:sz w:val="32"/>
          <w:szCs w:val="32"/>
          <w:shd w:val="clear" w:fill="FFFFFF"/>
          <w:lang w:val="en-US"/>
        </w:rPr>
        <w:t>5</w:t>
      </w:r>
      <w:r>
        <w:rPr>
          <w:rFonts w:hint="default"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rPr>
        <w:fldChar w:fldCharType="begin"/>
      </w:r>
      <w:r>
        <w:rPr>
          <w:rFonts w:hint="eastAsia" w:ascii="仿宋_GB2312" w:hAnsi="微软雅黑" w:eastAsia="仿宋_GB2312" w:cs="仿宋_GB2312"/>
          <w:i w:val="0"/>
          <w:iCs w:val="0"/>
          <w:caps w:val="0"/>
          <w:color w:val="000000"/>
          <w:spacing w:val="0"/>
          <w:sz w:val="32"/>
          <w:szCs w:val="32"/>
          <w:shd w:val="clear" w:fill="FFFFFF"/>
        </w:rPr>
        <w:instrText xml:space="preserve"> HYPERLINK "http://bgxc.gov.cn/fupin/attachment/news/2021621463788.pdf" \t "http://bgxc.gov.cn/fupin/news/_blank" </w:instrText>
      </w:r>
      <w:r>
        <w:rPr>
          <w:rFonts w:hint="eastAsia" w:ascii="仿宋_GB2312" w:hAnsi="微软雅黑" w:eastAsia="仿宋_GB2312" w:cs="仿宋_GB2312"/>
          <w:i w:val="0"/>
          <w:iCs w:val="0"/>
          <w:caps w:val="0"/>
          <w:color w:val="000000"/>
          <w:spacing w:val="0"/>
          <w:sz w:val="32"/>
          <w:szCs w:val="32"/>
          <w:shd w:val="clear" w:fill="FFFFFF"/>
        </w:rPr>
        <w:fldChar w:fldCharType="separate"/>
      </w:r>
      <w:r>
        <w:rPr>
          <w:rFonts w:hint="eastAsia" w:ascii="仿宋_GB2312" w:hAnsi="微软雅黑" w:eastAsia="仿宋_GB2312" w:cs="仿宋_GB2312"/>
          <w:i w:val="0"/>
          <w:iCs w:val="0"/>
          <w:caps w:val="0"/>
          <w:color w:val="000000"/>
          <w:spacing w:val="0"/>
          <w:sz w:val="32"/>
          <w:szCs w:val="32"/>
          <w:shd w:val="clear" w:fill="FFFFFF"/>
        </w:rPr>
        <w:t>白沟新城本级财政专项扶贫资金管理办法</w:t>
      </w:r>
      <w:r>
        <w:rPr>
          <w:rFonts w:hint="eastAsia" w:ascii="仿宋_GB2312" w:hAnsi="微软雅黑" w:eastAsia="仿宋_GB2312" w:cs="仿宋_GB2312"/>
          <w:i w:val="0"/>
          <w:iCs w:val="0"/>
          <w:caps w:val="0"/>
          <w:color w:val="000000"/>
          <w:spacing w:val="0"/>
          <w:sz w:val="32"/>
          <w:szCs w:val="32"/>
          <w:shd w:val="clear" w:fill="FFFFFF"/>
        </w:rPr>
        <w:fldChar w:fldCharType="end"/>
      </w:r>
      <w:r>
        <w:rPr>
          <w:rFonts w:hint="default" w:ascii="仿宋_GB2312" w:hAnsi="微软雅黑" w:eastAsia="仿宋_GB2312" w:cs="仿宋_GB2312"/>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lang w:val="en-US"/>
        </w:rPr>
        <w:t>(</w:t>
      </w: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fldChar w:fldCharType="begin"/>
      </w:r>
      <w:r>
        <w:rPr>
          <w:rFonts w:hint="eastAsia" w:ascii="仿宋_GB2312" w:hAnsi="微软雅黑" w:eastAsia="仿宋_GB2312" w:cs="仿宋_GB2312"/>
          <w:i w:val="0"/>
          <w:iCs w:val="0"/>
          <w:caps w:val="0"/>
          <w:color w:val="000000"/>
          <w:spacing w:val="0"/>
          <w:sz w:val="32"/>
          <w:szCs w:val="32"/>
          <w:shd w:val="clear" w:fill="FFFFFF"/>
        </w:rPr>
        <w:instrText xml:space="preserve"> HYPERLINK "http://bgxc.gov.cn/fupin/attachment/news/2021621463788.pdf" \t "http://bgxc.gov.cn/fupin/news/_blank" </w:instrText>
      </w:r>
      <w:r>
        <w:rPr>
          <w:rFonts w:hint="eastAsia" w:ascii="仿宋_GB2312" w:hAnsi="微软雅黑" w:eastAsia="仿宋_GB2312" w:cs="仿宋_GB2312"/>
          <w:i w:val="0"/>
          <w:iCs w:val="0"/>
          <w:caps w:val="0"/>
          <w:color w:val="000000"/>
          <w:spacing w:val="0"/>
          <w:sz w:val="32"/>
          <w:szCs w:val="32"/>
          <w:shd w:val="clear" w:fill="FFFFFF"/>
        </w:rPr>
        <w:fldChar w:fldCharType="separate"/>
      </w:r>
      <w:r>
        <w:rPr>
          <w:rFonts w:hint="eastAsia" w:ascii="仿宋_GB2312" w:hAnsi="微软雅黑" w:eastAsia="仿宋_GB2312" w:cs="仿宋_GB2312"/>
          <w:i w:val="0"/>
          <w:iCs w:val="0"/>
          <w:caps w:val="0"/>
          <w:color w:val="000000"/>
          <w:spacing w:val="0"/>
          <w:sz w:val="32"/>
          <w:szCs w:val="32"/>
          <w:shd w:val="clear" w:fill="FFFFFF"/>
        </w:rPr>
        <w:t>白财农</w:t>
      </w: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eastAsia="仿宋_GB2312" w:cs="仿宋_GB2312"/>
          <w:i w:val="0"/>
          <w:iCs w:val="0"/>
          <w:caps w:val="0"/>
          <w:color w:val="000000"/>
          <w:spacing w:val="0"/>
          <w:sz w:val="32"/>
          <w:szCs w:val="32"/>
          <w:shd w:val="clear" w:fill="FFFFFF"/>
        </w:rPr>
        <w:t>2018</w:t>
      </w: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eastAsia="仿宋_GB2312" w:cs="仿宋_GB2312"/>
          <w:i w:val="0"/>
          <w:iCs w:val="0"/>
          <w:caps w:val="0"/>
          <w:color w:val="000000"/>
          <w:spacing w:val="0"/>
          <w:sz w:val="32"/>
          <w:szCs w:val="32"/>
          <w:shd w:val="clear" w:fill="FFFFFF"/>
        </w:rPr>
        <w:t>10号</w:t>
      </w:r>
      <w:r>
        <w:rPr>
          <w:rFonts w:hint="eastAsia" w:ascii="仿宋_GB2312" w:hAnsi="微软雅黑" w:eastAsia="仿宋_GB2312" w:cs="仿宋_GB2312"/>
          <w:i w:val="0"/>
          <w:iCs w:val="0"/>
          <w:caps w:val="0"/>
          <w:color w:val="000000"/>
          <w:spacing w:val="0"/>
          <w:sz w:val="32"/>
          <w:szCs w:val="32"/>
          <w:shd w:val="clear" w:fill="FFFFFF"/>
        </w:rPr>
        <w:fldChar w:fldCharType="end"/>
      </w:r>
      <w:r>
        <w:rPr>
          <w:rFonts w:hint="default" w:ascii="仿宋_GB2312" w:hAnsi="微软雅黑" w:eastAsia="仿宋_GB2312" w:cs="仿宋_GB2312"/>
          <w:i w:val="0"/>
          <w:iCs w:val="0"/>
          <w:caps w:val="0"/>
          <w:color w:val="000000"/>
          <w:spacing w:val="0"/>
          <w:sz w:val="32"/>
          <w:szCs w:val="32"/>
          <w:shd w:val="clear" w:fill="FFFFFF"/>
          <w:lang w:val="en-US"/>
        </w:rPr>
        <w:t>)</w:t>
      </w:r>
      <w:r>
        <w:rPr>
          <w:rFonts w:hint="default" w:ascii="仿宋_GB2312" w:hAnsi="微软雅黑" w:eastAsia="仿宋_GB2312" w:cs="仿宋_GB2312"/>
          <w:i w:val="0"/>
          <w:iCs w:val="0"/>
          <w:caps w:val="0"/>
          <w:color w:val="000000"/>
          <w:spacing w:val="0"/>
          <w:sz w:val="32"/>
          <w:szCs w:val="32"/>
          <w:shd w:val="clear" w:fill="FFFFFF"/>
        </w:rPr>
        <w:t>同时废止。</w:t>
      </w:r>
    </w:p>
    <w:p>
      <w:pPr>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p>
    <w:p>
      <w:pPr>
        <w:pBdr>
          <w:top w:val="single" w:color="auto" w:sz="4" w:space="0"/>
          <w:bottom w:val="single" w:color="auto" w:sz="4" w:space="0"/>
        </w:pBdr>
        <w:spacing w:line="560" w:lineRule="exact"/>
        <w:jc w:val="both"/>
        <w:rPr>
          <w:rFonts w:hint="eastAsia" w:ascii="仿宋_GB2312" w:hAnsi="仿宋_GB2312" w:eastAsia="仿宋_GB2312" w:cs="仿宋_GB2312"/>
          <w:sz w:val="32"/>
          <w:szCs w:val="32"/>
        </w:rPr>
      </w:pPr>
      <w:r>
        <w:rPr>
          <w:rFonts w:hint="eastAsia" w:ascii="仿宋" w:hAnsi="仿宋" w:eastAsia="仿宋" w:cs="仿宋"/>
          <w:b w:val="0"/>
          <w:bCs w:val="0"/>
          <w:sz w:val="32"/>
          <w:szCs w:val="32"/>
          <w:lang w:val="en-US" w:eastAsia="zh-CN"/>
        </w:rPr>
        <w:t>保定白沟新城财政局               2021年5月10日印发</w:t>
      </w:r>
    </w:p>
    <w:sectPr>
      <w:footerReference r:id="rId4" w:type="default"/>
      <w:pgSz w:w="11906" w:h="16838"/>
      <w:pgMar w:top="1383" w:right="1746" w:bottom="1383" w:left="1746" w:header="708" w:footer="709" w:gutter="0"/>
      <w:pgBorders>
        <w:top w:val="none" w:sz="0" w:space="0"/>
        <w:left w:val="none" w:sz="0" w:space="0"/>
        <w:bottom w:val="none" w:sz="0" w:space="0"/>
        <w:right w:val="none" w:sz="0" w:space="0"/>
      </w:pgBorders>
      <w:pgNumType w:fmt="decimal"/>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eastAsia="微软雅黑"/>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fill on="f" focussize="0,0"/>
              <v:stroke on="f" weight="1.25pt"/>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5394F"/>
    <w:rsid w:val="103173E6"/>
    <w:rsid w:val="18430FEF"/>
    <w:rsid w:val="1ED4674E"/>
    <w:rsid w:val="1FBD6518"/>
    <w:rsid w:val="281170B0"/>
    <w:rsid w:val="2965698E"/>
    <w:rsid w:val="29B810FD"/>
    <w:rsid w:val="29CD7F5B"/>
    <w:rsid w:val="2D1D1891"/>
    <w:rsid w:val="34812CCA"/>
    <w:rsid w:val="35761260"/>
    <w:rsid w:val="37610867"/>
    <w:rsid w:val="3C6F4719"/>
    <w:rsid w:val="45A8323C"/>
    <w:rsid w:val="4756360A"/>
    <w:rsid w:val="48F27928"/>
    <w:rsid w:val="499A3E31"/>
    <w:rsid w:val="4A5F2CE9"/>
    <w:rsid w:val="54AE41B9"/>
    <w:rsid w:val="5F0A71C3"/>
    <w:rsid w:val="625B0D41"/>
    <w:rsid w:val="639519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11"/>
    <w:semiHidden/>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0"/>
    <w:rPr>
      <w:sz w:val="24"/>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0"/>
    <w:rPr>
      <w:color w:val="0000FF"/>
      <w:u w:val="single"/>
    </w:rPr>
  </w:style>
  <w:style w:type="character" w:customStyle="1" w:styleId="10">
    <w:name w:val="页眉 Char"/>
    <w:basedOn w:val="8"/>
    <w:link w:val="4"/>
    <w:semiHidden/>
    <w:qFormat/>
    <w:uiPriority w:val="99"/>
    <w:rPr>
      <w:rFonts w:ascii="Tahoma" w:hAnsi="Tahoma"/>
      <w:sz w:val="18"/>
      <w:szCs w:val="18"/>
    </w:rPr>
  </w:style>
  <w:style w:type="character" w:customStyle="1" w:styleId="11">
    <w:name w:val="页脚 Char"/>
    <w:basedOn w:val="8"/>
    <w:link w:val="3"/>
    <w:semiHidden/>
    <w:qFormat/>
    <w:uiPriority w:val="99"/>
    <w:rPr>
      <w:rFonts w:ascii="Tahoma" w:hAnsi="Tahoma"/>
      <w:sz w:val="18"/>
      <w:szCs w:val="18"/>
    </w:rPr>
  </w:style>
  <w:style w:type="character" w:customStyle="1" w:styleId="12">
    <w:name w:val="批注框文本 Char"/>
    <w:basedOn w:val="8"/>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43</Words>
  <Characters>248</Characters>
  <Lines>2</Lines>
  <Paragraphs>1</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2017-04-06T07:40:00Z</dcterms:created>
  <dc:creator>微软用户</dc:creator>
  <cp:lastModifiedBy>✌️唐_宋_元_明_清✌️</cp:lastModifiedBy>
  <cp:lastPrinted>2021-09-17T02:28:30Z</cp:lastPrinted>
  <dcterms:modified xsi:type="dcterms:W3CDTF">2021-09-17T02:34:46Z</dcterms:modified>
  <dc:title>保 定 白 沟 新 城 财 政 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A4992BF976334F30A2B13FCF6D0280B5</vt:lpwstr>
  </property>
</Properties>
</file>