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黑体"/>
          <w:b/>
          <w:sz w:val="44"/>
          <w:szCs w:val="44"/>
          <w:lang w:val="en-US" w:eastAsia="zh-CN"/>
        </w:rPr>
      </w:pPr>
      <w:r>
        <w:rPr>
          <w:rFonts w:hint="eastAsia" w:ascii="宋体" w:hAnsi="宋体" w:cs="黑体"/>
          <w:b/>
          <w:sz w:val="44"/>
          <w:szCs w:val="44"/>
        </w:rPr>
        <w:t>保定</w:t>
      </w:r>
      <w:r>
        <w:rPr>
          <w:rFonts w:hint="eastAsia" w:ascii="宋体" w:hAnsi="宋体" w:cs="黑体"/>
          <w:b/>
          <w:sz w:val="44"/>
          <w:szCs w:val="44"/>
          <w:lang w:val="en-US" w:eastAsia="zh-CN"/>
        </w:rPr>
        <w:t>市市场监督管理局白沟新城分局</w:t>
      </w:r>
    </w:p>
    <w:p>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按照按照《预算法》、《地方预决算公开操作规程》和《关于进一步推进预算公开工作的实施意见》规定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保定市市场监督管理局白沟新城分局</w:t>
      </w:r>
      <w:r>
        <w:rPr>
          <w:rFonts w:hint="eastAsia" w:ascii="仿宋" w:hAnsi="仿宋" w:eastAsia="仿宋" w:cs="仿宋_GB2312"/>
          <w:sz w:val="32"/>
          <w:szCs w:val="32"/>
          <w:lang w:eastAsia="zh-CN"/>
        </w:rPr>
        <w:t>2022年单位</w:t>
      </w:r>
      <w:r>
        <w:rPr>
          <w:rFonts w:hint="eastAsia" w:ascii="仿宋" w:hAnsi="仿宋" w:eastAsia="仿宋" w:cs="仿宋_GB2312"/>
          <w:sz w:val="32"/>
          <w:szCs w:val="32"/>
        </w:rPr>
        <w:t>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pPr>
        <w:numPr>
          <w:ilvl w:val="0"/>
          <w:numId w:val="0"/>
        </w:numPr>
        <w:spacing w:line="600" w:lineRule="exact"/>
        <w:rPr>
          <w:rFonts w:hint="eastAsia" w:ascii="宋体" w:hAnsi="宋体" w:cs="宋体"/>
          <w:b/>
          <w:bCs/>
          <w:sz w:val="30"/>
          <w:szCs w:val="30"/>
          <w:lang w:eastAsia="zh-CN"/>
        </w:rPr>
      </w:pP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一、单位职责</w:t>
      </w:r>
    </w:p>
    <w:p>
      <w:pPr>
        <w:spacing w:line="52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制定有关政策、标准、组织实施质量强市战略、食品安全战略、标准化战略、知识产权战略，拟订并组织实施有关规划，规范和维护市场秩序，营造诚实守信、公平竞争的市场环境</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整合金市市场监管综合执法队伍建设，推动实行统一的市场监管。组织查处重大违法案件。规范市场监管行政执法行为。组织推进竞争政策实施，指导实施公平竞争审查制度。依法对经营者集中行为进行反垄断审查，负责垄断协议、滥用市场支配地位和滥用行政权力排除、限制竞争等反垄断执法工作。</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对食品生产、流通、餐饮消费各环节进行监管、及时发现和排除食品安全问题，确保大型活动期间的食品安全</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全面加强对基本药物（医疗器械及包装材料）及化妆品的质量监管指导，监督药品生产企业严格按照药品标准进行生产，做好药物不良反应监测及调查处置</w:t>
      </w:r>
      <w:r>
        <w:rPr>
          <w:rFonts w:hint="eastAsia" w:ascii="仿宋" w:hAnsi="仿宋" w:eastAsia="仿宋" w:cs="仿宋_GB2312"/>
          <w:sz w:val="32"/>
          <w:szCs w:val="32"/>
          <w:lang w:val="en-US" w:eastAsia="zh-CN"/>
        </w:rPr>
        <w:t>.</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起草全市市场监督管理地方性法规、政府规章草案，拟订全市市场监督管理办法、措施和制度，加强基层队伍建设,开展教育培训及法律服务工作，做好机关后勤保障等其他工作。</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全市质量监督、工业产品质量安全监督、标准化、计量、认证认可、特种设备及食品相关产品质量监督管理等。</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组织价格和收费监督检查；受理价格处罚的复议案件和申诉案件；推进价格信用制度建设；依法办理价格举报案件；推行明码标价和价格、收费公示制度，对市场放开商品实施价格监管，加强反价格欺诈反垄断工作。</w:t>
      </w:r>
    </w:p>
    <w:p>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加强知识产权管理，促进知识产权运用，加大知识产权保护力度；加强知识产权宣传培训，加快知识产权服务业发展</w:t>
      </w:r>
      <w:r>
        <w:rPr>
          <w:rFonts w:hint="eastAsia" w:ascii="仿宋" w:hAnsi="仿宋" w:eastAsia="仿宋" w:cs="仿宋_GB2312"/>
          <w:sz w:val="32"/>
          <w:szCs w:val="32"/>
          <w:lang w:val="en-US" w:eastAsia="zh-CN"/>
        </w:rPr>
        <w:t>.</w:t>
      </w:r>
    </w:p>
    <w:p>
      <w:pPr>
        <w:numPr>
          <w:ilvl w:val="0"/>
          <w:numId w:val="0"/>
        </w:numPr>
        <w:rPr>
          <w:rFonts w:ascii="宋体" w:cs="宋体"/>
          <w:b/>
          <w:sz w:val="32"/>
          <w:szCs w:val="32"/>
        </w:rPr>
      </w:pPr>
    </w:p>
    <w:p>
      <w:pPr>
        <w:numPr>
          <w:ilvl w:val="0"/>
          <w:numId w:val="0"/>
        </w:numPr>
        <w:spacing w:line="600" w:lineRule="exact"/>
        <w:rPr>
          <w:rFonts w:ascii="宋体" w:cs="宋体"/>
          <w:b/>
          <w:bCs/>
          <w:sz w:val="30"/>
          <w:szCs w:val="30"/>
        </w:rPr>
      </w:pPr>
      <w:r>
        <w:rPr>
          <w:rFonts w:hint="eastAsia" w:ascii="宋体" w:hAnsi="宋体" w:cs="宋体"/>
          <w:b/>
          <w:bCs/>
          <w:sz w:val="30"/>
          <w:szCs w:val="30"/>
          <w:lang w:val="en-US" w:eastAsia="zh-CN"/>
        </w:rPr>
        <w:t xml:space="preserve">    </w:t>
      </w:r>
      <w:r>
        <w:rPr>
          <w:rFonts w:hint="eastAsia" w:ascii="宋体" w:hAnsi="宋体" w:cs="宋体"/>
          <w:b/>
          <w:bCs/>
          <w:sz w:val="30"/>
          <w:szCs w:val="30"/>
          <w:lang w:eastAsia="zh-CN"/>
        </w:rPr>
        <w:t>二、</w:t>
      </w: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保定市市场监督管理局白沟新城分局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行政机关</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pPr>
        <w:numPr>
          <w:ilvl w:val="0"/>
          <w:numId w:val="1"/>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val="en-US"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19.04</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日常公用经费预算</w:t>
      </w:r>
      <w:r>
        <w:rPr>
          <w:rFonts w:hint="eastAsia" w:ascii="仿宋" w:hAnsi="仿宋" w:eastAsia="仿宋"/>
          <w:sz w:val="32"/>
          <w:szCs w:val="32"/>
          <w:lang w:val="en-US" w:eastAsia="zh-CN"/>
        </w:rPr>
        <w:t>0.93</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180.08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19.97</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19.04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日常公用经费</w:t>
      </w:r>
      <w:r>
        <w:rPr>
          <w:rFonts w:hint="eastAsia" w:ascii="仿宋" w:hAnsi="仿宋" w:eastAsia="仿宋"/>
          <w:sz w:val="32"/>
          <w:szCs w:val="32"/>
          <w:lang w:val="en-US" w:eastAsia="zh-CN"/>
        </w:rPr>
        <w:t>0.93</w:t>
      </w:r>
      <w:r>
        <w:rPr>
          <w:rFonts w:ascii="仿宋" w:hAnsi="仿宋" w:eastAsia="仿宋"/>
          <w:sz w:val="32"/>
          <w:szCs w:val="32"/>
        </w:rPr>
        <w:t xml:space="preserve">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hint="default" w:ascii="黑体" w:hAnsi="黑体" w:eastAsia="黑体"/>
          <w:b/>
          <w:sz w:val="32"/>
          <w:lang w:val="en-US"/>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 200.05</w:t>
      </w:r>
      <w:r>
        <w:rPr>
          <w:rFonts w:hint="eastAsia" w:ascii="仿宋" w:hAnsi="仿宋" w:eastAsia="仿宋"/>
          <w:sz w:val="32"/>
          <w:szCs w:val="32"/>
        </w:rPr>
        <w:t>万元，较上年增加</w:t>
      </w:r>
      <w:r>
        <w:rPr>
          <w:rFonts w:hint="eastAsia" w:ascii="仿宋" w:hAnsi="仿宋" w:eastAsia="仿宋"/>
          <w:sz w:val="32"/>
          <w:szCs w:val="32"/>
          <w:lang w:val="en-US" w:eastAsia="zh-CN"/>
        </w:rPr>
        <w:t xml:space="preserve">3.47 </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 xml:space="preserve"> 3.18 万元</w:t>
      </w:r>
      <w:r>
        <w:rPr>
          <w:rFonts w:hint="eastAsia" w:ascii="仿宋" w:hAnsi="仿宋" w:eastAsia="仿宋"/>
          <w:sz w:val="32"/>
          <w:szCs w:val="32"/>
          <w:lang w:eastAsia="zh-CN"/>
        </w:rPr>
        <w:t>。增</w:t>
      </w:r>
      <w:r>
        <w:rPr>
          <w:rFonts w:hint="eastAsia" w:ascii="仿宋" w:hAnsi="仿宋" w:eastAsia="仿宋"/>
          <w:sz w:val="32"/>
          <w:szCs w:val="32"/>
          <w:lang w:val="en-US" w:eastAsia="zh-CN"/>
        </w:rPr>
        <w:t>加</w:t>
      </w:r>
      <w:r>
        <w:rPr>
          <w:rFonts w:hint="eastAsia" w:ascii="仿宋" w:hAnsi="仿宋" w:eastAsia="仿宋"/>
          <w:sz w:val="32"/>
          <w:szCs w:val="32"/>
          <w:lang w:eastAsia="zh-CN"/>
        </w:rPr>
        <w:t>原因：</w:t>
      </w:r>
      <w:r>
        <w:rPr>
          <w:rFonts w:hint="eastAsia" w:ascii="仿宋" w:hAnsi="仿宋" w:eastAsia="仿宋"/>
          <w:sz w:val="32"/>
          <w:szCs w:val="32"/>
          <w:lang w:val="en-US" w:eastAsia="zh-CN"/>
        </w:rPr>
        <w:t>工作需要。</w:t>
      </w: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00" w:firstLineChars="200"/>
        <w:rPr>
          <w:rFonts w:hint="default" w:ascii="仿宋" w:hAnsi="仿宋" w:eastAsia="仿宋" w:cs="宋体"/>
          <w:sz w:val="30"/>
          <w:szCs w:val="30"/>
          <w:lang w:val="en-US"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 xml:space="preserve"> 0.93</w:t>
      </w:r>
      <w:r>
        <w:rPr>
          <w:rFonts w:hint="eastAsia" w:ascii="仿宋" w:hAnsi="仿宋" w:eastAsia="仿宋" w:cs="宋体"/>
          <w:sz w:val="30"/>
          <w:szCs w:val="30"/>
        </w:rPr>
        <w:t>万元，其中办公费</w:t>
      </w:r>
      <w:r>
        <w:rPr>
          <w:rFonts w:hint="eastAsia" w:ascii="仿宋" w:hAnsi="仿宋" w:eastAsia="仿宋" w:cs="宋体"/>
          <w:sz w:val="30"/>
          <w:szCs w:val="30"/>
          <w:lang w:val="en-US" w:eastAsia="zh-CN"/>
        </w:rPr>
        <w:t>0.52</w:t>
      </w:r>
      <w:r>
        <w:rPr>
          <w:rFonts w:hint="eastAsia" w:ascii="仿宋" w:hAnsi="仿宋" w:eastAsia="仿宋" w:cs="宋体"/>
          <w:sz w:val="30"/>
          <w:szCs w:val="30"/>
        </w:rPr>
        <w:t>万元</w:t>
      </w:r>
      <w:r>
        <w:rPr>
          <w:rFonts w:hint="eastAsia" w:ascii="仿宋" w:hAnsi="仿宋" w:eastAsia="仿宋" w:cs="宋体"/>
          <w:sz w:val="30"/>
          <w:szCs w:val="30"/>
          <w:lang w:eastAsia="zh-CN"/>
        </w:rPr>
        <w:t>，工会经费</w:t>
      </w:r>
      <w:r>
        <w:rPr>
          <w:rFonts w:hint="eastAsia" w:ascii="仿宋" w:hAnsi="仿宋" w:eastAsia="仿宋" w:cs="宋体"/>
          <w:sz w:val="30"/>
          <w:szCs w:val="30"/>
          <w:lang w:val="en-US" w:eastAsia="zh-CN"/>
        </w:rPr>
        <w:t>0.24万元，福利费0.15万元，党组织活动经费0.02万元。</w:t>
      </w: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0 </w:t>
      </w:r>
      <w:r>
        <w:rPr>
          <w:rFonts w:hint="eastAsia" w:ascii="宋体" w:hAnsi="宋体" w:cs="宋体"/>
          <w:sz w:val="30"/>
          <w:szCs w:val="30"/>
        </w:rPr>
        <w:t>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9042"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2298"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lang w:val="en-US"/>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w:t>
            </w:r>
          </w:p>
        </w:tc>
      </w:tr>
    </w:tbl>
    <w:p>
      <w:pPr>
        <w:ind w:firstLine="600" w:firstLineChars="200"/>
        <w:rPr>
          <w:rFonts w:hint="default" w:ascii="宋体" w:hAnsi="宋体" w:cs="宋体"/>
          <w:sz w:val="30"/>
          <w:szCs w:val="30"/>
          <w:lang w:val="en-US" w:eastAsia="zh-CN"/>
        </w:rPr>
      </w:pPr>
      <w:r>
        <w:rPr>
          <w:rFonts w:hint="eastAsia" w:ascii="宋体" w:hAnsi="宋体" w:cs="宋体"/>
          <w:sz w:val="30"/>
          <w:szCs w:val="30"/>
          <w:lang w:val="en-US" w:eastAsia="zh-CN"/>
        </w:rPr>
        <w:t>原因说明：无“三公经费”预算。</w:t>
      </w:r>
      <w:bookmarkStart w:id="0" w:name="_GoBack"/>
      <w:bookmarkEnd w:id="0"/>
    </w:p>
    <w:p>
      <w:pPr>
        <w:jc w:val="both"/>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2"/>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pPr>
        <w:widowControl w:val="0"/>
        <w:numPr>
          <w:ilvl w:val="0"/>
          <w:numId w:val="3"/>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pPr>
        <w:spacing w:line="520" w:lineRule="exact"/>
        <w:ind w:firstLine="640" w:firstLineChars="200"/>
        <w:jc w:val="left"/>
        <w:rPr>
          <w:rFonts w:hint="eastAsia" w:ascii="楷体" w:hAnsi="楷体" w:eastAsia="楷体"/>
          <w:sz w:val="32"/>
          <w:szCs w:val="32"/>
        </w:rPr>
      </w:pPr>
      <w:r>
        <w:rPr>
          <w:rFonts w:hint="eastAsia" w:ascii="仿宋" w:hAnsi="仿宋" w:eastAsia="仿宋" w:cs="仿宋_GB2312"/>
          <w:sz w:val="32"/>
          <w:szCs w:val="32"/>
        </w:rPr>
        <w:t>紧紧围绕全面深化改革的总体要求，牢牢把握京津冀协同发展和现代化品质之城建设的战略部署，明年全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市场监管工作将紧紧围绕市委市政府</w:t>
      </w:r>
      <w:r>
        <w:rPr>
          <w:rFonts w:hint="eastAsia" w:ascii="仿宋" w:hAnsi="仿宋" w:eastAsia="仿宋" w:cs="仿宋_GB2312"/>
          <w:sz w:val="32"/>
          <w:szCs w:val="32"/>
          <w:lang w:val="en-US" w:eastAsia="zh-CN"/>
        </w:rPr>
        <w:t>白沟新城管委会</w:t>
      </w:r>
      <w:r>
        <w:rPr>
          <w:rFonts w:hint="eastAsia" w:ascii="仿宋" w:hAnsi="仿宋" w:eastAsia="仿宋" w:cs="仿宋_GB2312"/>
          <w:sz w:val="32"/>
          <w:szCs w:val="32"/>
        </w:rPr>
        <w:t>中心工作，以助力全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经济社会高质量发展为目标，以稳队伍、强监管、抓重点、保安全为统揽，围绕“三三五九五”的工作思路，进一步把市场监管工作做扎实，为全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发展做贡献。商事制度改革、惠民利企政策全部落实到位；食品药品不出系统性、行业性、区域性安全责任事故，特种设备安全不出重大责任事故；保持质量工作、知识产权工作全省前列位置；市场综合管理和执法工作成效显著，违规违法和假冒伪劣现象得到有效遏制</w:t>
      </w:r>
      <w:r>
        <w:rPr>
          <w:rFonts w:hint="eastAsia" w:ascii="仿宋" w:hAnsi="仿宋" w:eastAsia="仿宋" w:cs="仿宋_GB2312"/>
          <w:sz w:val="32"/>
          <w:szCs w:val="32"/>
          <w:lang w:eastAsia="zh-CN"/>
        </w:rPr>
        <w:t>。</w:t>
      </w:r>
    </w:p>
    <w:p>
      <w:pPr>
        <w:widowControl w:val="0"/>
        <w:numPr>
          <w:ilvl w:val="0"/>
          <w:numId w:val="3"/>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推进药品安全事务发展</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绩效目标：以药品“购销合法性、储运合规性”为重点，强化药品安全日常监督检查。</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绩效指标：新冠疫苗使用、中药饮片、医疗器械、化妆品等领域风险隐患排查完成率达到1  00%.保证食品药品违法行为处罚率达到100%,人民群众满意度达到90%.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加强生产、流通、餐饮等各环节食品安全监管</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绩效目标：继续开展食品安全示范</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申报工作。深入推进食品安全放心工程建设。</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绩效指标：开展餐饮质量安全提升行动、网络订餐“净网”行动、校园及周边食品安全专项整治行动等。明厨亮灶100%全覆盖。2022年，适用于随机抽查的监管事项要达到100%.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强化大气污染治理</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绩效目标：全力开展劣质散煤治理、型煤质量监管、成品油质量监测等工作。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绩效指标：对全</w:t>
      </w:r>
      <w:r>
        <w:rPr>
          <w:rFonts w:hint="eastAsia" w:ascii="仿宋" w:hAnsi="仿宋" w:eastAsia="仿宋" w:cs="仿宋_GB2312"/>
          <w:sz w:val="32"/>
          <w:szCs w:val="32"/>
          <w:lang w:val="en-US" w:eastAsia="zh-CN"/>
        </w:rPr>
        <w:t>区成品油、车用尿素质量抽检批次分别达到56批次，8批次，</w:t>
      </w:r>
      <w:r>
        <w:rPr>
          <w:rFonts w:hint="eastAsia" w:ascii="仿宋" w:hAnsi="仿宋" w:eastAsia="仿宋" w:cs="仿宋_GB2312"/>
          <w:sz w:val="32"/>
          <w:szCs w:val="32"/>
        </w:rPr>
        <w:t>对抽检过程中发现的不合格成品油处罚率达到100%.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助力优化市场营商环境</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绩效目标：简化外资企业注册登记程序。清理“僵尸企业”，2022年企业年报率不低于今年。研究应对职业打假措施。开展涉企收费、金融服务业收费等各类专项检查，落实专利扶助政策，营商环境全面优化。</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2022年市场主体抽查率达到5%.开展涉企收费、金融服务业收费等各类专项检查次数不低于5次，2022年企业年报率不低于今年。</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广泛开展宣传教育活动，严厉打击各类违法行为，维护人民群众合法权益</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开展食品药品、质量计量、消费维权等知识的宣传教育。开展传销查处工作。组织实施价格和收费监督检查，维护老百姓合法利益。绩效指标：对全市食品药品、质量计量、消费维权等知识的宣传教育覆盖率不低于90%.组织实施价格和收费监督检查不低于5次。</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开展惠民活动，保障产品质量安全</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绩效目标：实施家用和强制计量器具免费检定工作，特别着重检定有关民生部分，如全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企业、学校、</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民提供的服装、学生服、棉絮制品等、有关民生健康的家用血压计、集贸市场衡具等。</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绩效指标：产品质量监督抽检不合格品后处理率达到100%.对不合格产品下架率达到100%,群众的满意度达到90%。</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推进知识产权培育及保护工作</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绩效目标：推动地理标志产品的培育申报和专用商标使用工作。有效发挥专利技术在推动科技创新中重要作用，鼓励发明创造，促进我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科技进步和经济发展。</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绩效指标：全面统计我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专利申请数量，及时按照相关文件将专利补助发放到位，促进专利申请的积极性，2022年专利申请数量力争达到</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件，较上年增长率达到</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w:t>
      </w:r>
    </w:p>
    <w:p>
      <w:pPr>
        <w:widowControl w:val="0"/>
        <w:wordWrap/>
        <w:adjustRightInd/>
        <w:snapToGrid/>
        <w:spacing w:before="0" w:after="0" w:line="520" w:lineRule="exact"/>
        <w:ind w:left="0" w:leftChars="0" w:right="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工作保障措施</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加强理论武装。深入学习习近平新时代中国特色社会主义思想和党的十九大精神，把握科学内涵，领会精神实质，指导实践工作。认真开展“不忘初心、牢记使命”主题教育。扎实推进“两学一做”学习教育常态化。</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提升业务素质。强化培训需求导向，围绕商事制度改革、信用监管、食药安全、监管抽检、执法办案等方面，加大干部教育培训力度，开展各业务领域大练兵、大比武活动，进一步提升执法人员业务素质和执法能力。根据国家有关规定，加快建立食品药品职业化检查员队伍。</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推进依法行政。加强对新出台、修订法律法规规章的教育培训和宣传普及，深入推进行政执法全过程记录、行政执法公示、重大执法决定法制审核“三项制度”落实，大力开展执法检查和案卷评查活动。</w:t>
      </w:r>
    </w:p>
    <w:p>
      <w:pPr>
        <w:rPr>
          <w:rFonts w:hint="eastAsia" w:ascii="方正小标宋_GBK" w:eastAsia="方正小标宋_GBK"/>
          <w:sz w:val="32"/>
          <w:szCs w:val="32"/>
        </w:rPr>
      </w:pP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rPr>
          <w:rFonts w:hint="eastAsia" w:ascii="方正小标宋_GBK" w:eastAsia="方正小标宋_GBK"/>
          <w:sz w:val="32"/>
          <w:szCs w:val="32"/>
        </w:rPr>
      </w:pPr>
    </w:p>
    <w:p>
      <w:pPr>
        <w:sectPr>
          <w:pgSz w:w="11906" w:h="16838"/>
          <w:pgMar w:top="1440" w:right="1800" w:bottom="1440" w:left="1800" w:header="851" w:footer="992" w:gutter="0"/>
          <w:cols w:space="720" w:num="1"/>
          <w:docGrid w:type="lines" w:linePitch="312" w:charSpace="0"/>
        </w:sect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78"/>
        <w:gridCol w:w="1578"/>
        <w:gridCol w:w="2560"/>
        <w:gridCol w:w="620"/>
        <w:gridCol w:w="774"/>
        <w:gridCol w:w="1967"/>
        <w:gridCol w:w="157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[13060522P00360110001Q]</w:t>
            </w:r>
            <w:r>
              <w:rPr>
                <w:rStyle w:val="14"/>
                <w:lang w:val="en-US" w:eastAsia="zh-CN"/>
              </w:rPr>
              <w:t>市场监督劳务派遣资金</w:t>
            </w:r>
            <w:r>
              <w:rPr>
                <w:rStyle w:val="15"/>
                <w:rFonts w:eastAsia="宋体"/>
                <w:lang w:val="en-US" w:eastAsia="zh-CN"/>
              </w:rPr>
              <w:t>2022</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[999]</w:t>
            </w:r>
            <w:r>
              <w:rPr>
                <w:rStyle w:val="14"/>
                <w:lang w:val="en-US" w:eastAsia="zh-CN"/>
              </w:rPr>
              <w:t>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r>
              <w:rPr>
                <w:rStyle w:val="15"/>
                <w:rFonts w:eastAsia="宋体"/>
                <w:lang w:val="en-US" w:eastAsia="zh-CN"/>
              </w:rPr>
              <w:t>014]</w:t>
            </w:r>
            <w:r>
              <w:rPr>
                <w:rStyle w:val="14"/>
                <w:lang w:val="en-US" w:eastAsia="zh-CN"/>
              </w:rPr>
              <w:t>保定市市场监督管理局白沟新城分局</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2239"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劳务派遣人员经费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Style w:val="16"/>
                <w:rFonts w:eastAsia="宋体"/>
                <w:lang w:val="en-US" w:eastAsia="zh-CN"/>
              </w:rPr>
              <w:br w:type="textWrapping"/>
            </w:r>
            <w:r>
              <w:rPr>
                <w:rStyle w:val="17"/>
                <w:lang w:val="en-US" w:eastAsia="zh-CN"/>
              </w:rPr>
              <w:t>（累计支出比例）</w:t>
            </w: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Style w:val="17"/>
                <w:lang w:val="en-US" w:eastAsia="zh-CN"/>
              </w:rPr>
              <w:t>月底</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Style w:val="17"/>
                <w:lang w:val="en-US" w:eastAsia="zh-CN"/>
              </w:rPr>
              <w:t>月底</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Style w:val="17"/>
                <w:lang w:val="en-US" w:eastAsia="zh-CN"/>
              </w:rPr>
              <w:t>月底</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Style w:val="17"/>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90%</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66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主要用于劳务人员工资支出，保障办公正常运转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w:t>
            </w:r>
            <w:r>
              <w:rPr>
                <w:rStyle w:val="15"/>
                <w:rFonts w:eastAsia="宋体"/>
                <w:lang w:val="en-US" w:eastAsia="zh-CN"/>
              </w:rPr>
              <w:t>30</w:t>
            </w:r>
            <w:r>
              <w:rPr>
                <w:rStyle w:val="14"/>
                <w:lang w:val="en-US" w:eastAsia="zh-CN"/>
              </w:rPr>
              <w:t>人工资</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Style w:val="18"/>
                <w:rFonts w:eastAsia="宋体"/>
                <w:lang w:val="en-US" w:eastAsia="zh-CN"/>
              </w:rPr>
              <w:br w:type="textWrapping"/>
            </w:r>
            <w:r>
              <w:rPr>
                <w:rStyle w:val="19"/>
                <w:lang w:val="en-US" w:eastAsia="zh-CN"/>
              </w:rPr>
              <w:t>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综合事务管理工作完成率</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w:t>
            </w:r>
            <w:r>
              <w:rPr>
                <w:rStyle w:val="18"/>
                <w:rFonts w:eastAsia="宋体"/>
                <w:lang w:val="en-US" w:eastAsia="zh-CN"/>
              </w:rPr>
              <w:br w:type="textWrapping"/>
            </w:r>
            <w:r>
              <w:rPr>
                <w:rStyle w:val="19"/>
                <w:lang w:val="en-US" w:eastAsia="zh-CN"/>
              </w:rPr>
              <w:t>际工作为准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按规定及时发放工资</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放工资</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Style w:val="18"/>
                <w:rFonts w:eastAsia="宋体"/>
                <w:lang w:val="en-US" w:eastAsia="zh-CN"/>
              </w:rPr>
              <w:br w:type="textWrapping"/>
            </w:r>
            <w:r>
              <w:rPr>
                <w:rStyle w:val="19"/>
                <w:lang w:val="en-US" w:eastAsia="zh-CN"/>
              </w:rPr>
              <w:t>工资额</w:t>
            </w: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c>
          <w:tcPr>
            <w:tcW w:w="19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w:t>
            </w:r>
            <w:r>
              <w:rPr>
                <w:rStyle w:val="19"/>
                <w:lang w:val="en-US" w:eastAsia="zh-CN"/>
              </w:rPr>
              <w:t>感，保持干部队伍稳定</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w:t>
            </w:r>
            <w:r>
              <w:rPr>
                <w:rStyle w:val="18"/>
                <w:rFonts w:eastAsia="宋体"/>
                <w:lang w:val="en-US" w:eastAsia="zh-CN"/>
              </w:rPr>
              <w:br w:type="textWrapping"/>
            </w:r>
            <w:r>
              <w:rPr>
                <w:rStyle w:val="19"/>
                <w:lang w:val="en-US" w:eastAsia="zh-CN"/>
              </w:rPr>
              <w:t>保持干部队伍稳定</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加强工作人员归属感，保持干部队伍稳定</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w:t>
            </w:r>
            <w:r>
              <w:rPr>
                <w:rStyle w:val="19"/>
                <w:lang w:val="en-US" w:eastAsia="zh-CN"/>
              </w:rPr>
              <w:t>属感，保持干部队伍稳定</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Style w:val="18"/>
                <w:rFonts w:eastAsia="宋体"/>
                <w:lang w:val="en-US" w:eastAsia="zh-CN"/>
              </w:rPr>
              <w:br w:type="textWrapping"/>
            </w:r>
            <w:r>
              <w:rPr>
                <w:rStyle w:val="19"/>
                <w:lang w:val="en-US" w:eastAsia="zh-CN"/>
              </w:rPr>
              <w:t>按时完成率</w:t>
            </w:r>
          </w:p>
        </w:tc>
        <w:tc>
          <w:tcPr>
            <w:tcW w:w="256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务按时完成率</w:t>
            </w:r>
          </w:p>
        </w:tc>
        <w:tc>
          <w:tcPr>
            <w:tcW w:w="62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7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时完成</w:t>
            </w:r>
          </w:p>
        </w:tc>
        <w:tc>
          <w:tcPr>
            <w:tcW w:w="158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r>
              <w:rPr>
                <w:rStyle w:val="18"/>
                <w:rFonts w:eastAsia="宋体"/>
                <w:lang w:val="en-US" w:eastAsia="zh-CN"/>
              </w:rPr>
              <w:br w:type="textWrapping"/>
            </w:r>
            <w:r>
              <w:rPr>
                <w:rStyle w:val="19"/>
                <w:lang w:val="en-US" w:eastAsia="zh-CN"/>
              </w:rPr>
              <w:t>度指标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5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97</w:t>
            </w:r>
          </w:p>
        </w:tc>
        <w:tc>
          <w:tcPr>
            <w:tcW w:w="19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bl>
    <w:p>
      <w:pPr>
        <w:sectPr>
          <w:pgSz w:w="16838" w:h="11906" w:orient="landscape"/>
          <w:pgMar w:top="1134" w:right="1440" w:bottom="1134" w:left="1440" w:header="851" w:footer="992" w:gutter="0"/>
          <w:cols w:space="720" w:num="1"/>
          <w:docGrid w:type="lines" w:linePitch="312" w:charSpace="0"/>
        </w:sectPr>
      </w:pPr>
    </w:p>
    <w:p>
      <w:pPr>
        <w:rPr>
          <w:rFonts w:hint="eastAsia" w:ascii="方正小标宋_GBK" w:eastAsia="方正小标宋_GBK"/>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1594"/>
        <w:gridCol w:w="1627"/>
        <w:gridCol w:w="1561"/>
        <w:gridCol w:w="753"/>
        <w:gridCol w:w="629"/>
        <w:gridCol w:w="2138"/>
        <w:gridCol w:w="1946"/>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[13060522P00369710001U]2022-市场监督-市场监督管理资金</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1816"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食堂保安人员工资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（累计支出比例）</w:t>
            </w: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3月底</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6月底</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10月底</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22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及时支付食堂保安人员工资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述（指标内容）</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发放食堂保安4人工资</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作完成率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15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75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94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156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作效率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工作人员的工作效率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627"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1561"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75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946"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68"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满意度指标</w:t>
            </w:r>
          </w:p>
        </w:tc>
        <w:tc>
          <w:tcPr>
            <w:tcW w:w="16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19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r>
    </w:tbl>
    <w:p>
      <w:pPr>
        <w:sectPr>
          <w:pgSz w:w="16838" w:h="11906" w:orient="landscape"/>
          <w:pgMar w:top="567" w:right="1440" w:bottom="567" w:left="1440" w:header="851" w:footer="992" w:gutter="0"/>
          <w:cols w:space="720" w:num="1"/>
          <w:docGrid w:type="lines" w:linePitch="312" w:charSpace="0"/>
        </w:sectPr>
      </w:pPr>
    </w:p>
    <w:tbl>
      <w:tblPr>
        <w:tblStyle w:val="4"/>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733"/>
        <w:gridCol w:w="1725"/>
        <w:gridCol w:w="2490"/>
        <w:gridCol w:w="930"/>
        <w:gridCol w:w="840"/>
        <w:gridCol w:w="1500"/>
        <w:gridCol w:w="1515"/>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[13060522P00400410001X]2022-</w:t>
            </w:r>
            <w:r>
              <w:rPr>
                <w:rFonts w:hint="eastAsia" w:ascii="宋体" w:hAnsi="宋体" w:eastAsia="宋体" w:cs="宋体"/>
                <w:i w:val="0"/>
                <w:iCs w:val="0"/>
                <w:color w:val="000000"/>
                <w:kern w:val="0"/>
                <w:sz w:val="18"/>
                <w:szCs w:val="18"/>
                <w:u w:val="none"/>
                <w:lang w:val="en-US" w:eastAsia="zh-CN"/>
              </w:rPr>
              <w:t>市场监督</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成品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油抽检经费</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w:t>
            </w:r>
            <w:r>
              <w:rPr>
                <w:rFonts w:hint="eastAsia" w:ascii="宋体" w:hAnsi="宋体" w:eastAsia="宋体" w:cs="宋体"/>
                <w:i w:val="0"/>
                <w:iCs w:val="0"/>
                <w:color w:val="000000"/>
                <w:kern w:val="0"/>
                <w:sz w:val="18"/>
                <w:szCs w:val="18"/>
                <w:u w:val="none"/>
                <w:lang w:val="en-US" w:eastAsia="zh-CN"/>
              </w:rPr>
              <w:t>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[999014]</w:t>
            </w:r>
            <w:r>
              <w:rPr>
                <w:rFonts w:hint="eastAsia" w:ascii="宋体" w:hAnsi="宋体" w:eastAsia="宋体" w:cs="宋体"/>
                <w:i w:val="0"/>
                <w:iCs w:val="0"/>
                <w:color w:val="000000"/>
                <w:kern w:val="0"/>
                <w:sz w:val="18"/>
                <w:szCs w:val="18"/>
                <w:u w:val="none"/>
                <w:lang w:val="en-US" w:eastAsia="zh-CN"/>
              </w:rPr>
              <w:t>保定市市场监督管理局白沟新城分局</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2512"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资金支出计划</w:t>
            </w:r>
            <w:r>
              <w:rPr>
                <w:rFonts w:hint="default" w:ascii="Calibri" w:hAnsi="Calibri" w:eastAsia="宋体" w:cs="Calibri"/>
                <w:b/>
                <w:bCs/>
                <w:i w:val="0"/>
                <w:iCs w:val="0"/>
                <w:color w:val="000000"/>
                <w:kern w:val="0"/>
                <w:sz w:val="18"/>
                <w:szCs w:val="18"/>
                <w:u w:val="none"/>
                <w:lang w:val="en-US" w:eastAsia="zh-CN"/>
              </w:rPr>
              <w:br w:type="textWrapping"/>
            </w:r>
            <w:r>
              <w:rPr>
                <w:rFonts w:hint="eastAsia" w:ascii="宋体" w:hAnsi="宋体" w:cs="宋体"/>
                <w:b/>
                <w:bCs/>
                <w:color w:val="000000"/>
                <w:sz w:val="18"/>
                <w:szCs w:val="18"/>
                <w:u w:val="none"/>
                <w:lang w:val="en-US" w:eastAsia="zh-CN"/>
              </w:rPr>
              <w:t>（累计支出比例）</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cs="宋体"/>
                <w:b/>
                <w:bCs/>
                <w:color w:val="000000"/>
                <w:sz w:val="18"/>
                <w:szCs w:val="18"/>
                <w:u w:val="none"/>
                <w:lang w:val="en-US" w:eastAsia="zh-CN"/>
              </w:rPr>
              <w:t>月底</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cs="宋体"/>
                <w:b/>
                <w:bCs/>
                <w:color w:val="000000"/>
                <w:sz w:val="18"/>
                <w:szCs w:val="18"/>
                <w:u w:val="none"/>
                <w:lang w:val="en-US" w:eastAsia="zh-CN"/>
              </w:rPr>
              <w:t>月底</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cs="宋体"/>
                <w:b/>
                <w:bCs/>
                <w:color w:val="000000"/>
                <w:sz w:val="18"/>
                <w:szCs w:val="18"/>
                <w:u w:val="none"/>
                <w:lang w:val="en-US" w:eastAsia="zh-CN"/>
              </w:rPr>
              <w:t>月底</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cs="宋体"/>
                <w:b/>
                <w:bCs/>
                <w:color w:val="000000"/>
                <w:sz w:val="18"/>
                <w:szCs w:val="18"/>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077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按照工作需求及时完成成品油的抽检工作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7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24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7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单位（文字描述）</w:t>
            </w: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成品油抽检批次</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品油抽检批次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工作计划执行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抽检成本</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抽检成品油低于</w:t>
            </w:r>
            <w:r>
              <w:rPr>
                <w:rFonts w:hint="default" w:eastAsia="宋体" w:cs="Calibri"/>
                <w:color w:val="000000"/>
                <w:sz w:val="18"/>
                <w:szCs w:val="18"/>
                <w:u w:val="none"/>
                <w:lang w:val="en-US" w:eastAsia="zh-CN"/>
              </w:rPr>
              <w:br w:type="textWrapping"/>
            </w:r>
            <w:r>
              <w:rPr>
                <w:rFonts w:hint="default" w:eastAsia="宋体" w:cs="Calibri"/>
                <w:color w:val="000000"/>
                <w:sz w:val="18"/>
                <w:szCs w:val="18"/>
                <w:u w:val="none"/>
                <w:lang w:val="en-US" w:eastAsia="zh-CN"/>
              </w:rPr>
              <w:t>3000</w:t>
            </w:r>
            <w:r>
              <w:rPr>
                <w:rFonts w:hint="eastAsia" w:ascii="宋体" w:hAnsi="宋体" w:eastAsia="宋体" w:cs="宋体"/>
                <w:i w:val="0"/>
                <w:iCs w:val="0"/>
                <w:color w:val="000000"/>
                <w:kern w:val="0"/>
                <w:sz w:val="18"/>
                <w:szCs w:val="18"/>
                <w:u w:val="none"/>
                <w:lang w:val="en-US" w:eastAsia="zh-CN"/>
              </w:rPr>
              <w:t>元</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3000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r>
              <w:rPr>
                <w:rFonts w:hint="default" w:ascii="Calibri" w:hAnsi="Calibri" w:eastAsia="宋体" w:cs="Calibri"/>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抽检计划</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完成时效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抽检项目于</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w:t>
            </w:r>
            <w:r>
              <w:rPr>
                <w:rFonts w:hint="default" w:eastAsia="宋体" w:cs="Calibri"/>
                <w:color w:val="000000"/>
                <w:sz w:val="18"/>
                <w:szCs w:val="18"/>
                <w:u w:val="none"/>
                <w:lang w:val="en-US" w:eastAsia="zh-CN"/>
              </w:rPr>
              <w:t>11</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月底前全部完成</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告完成时间</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抽检报告准确</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率是否完成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24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9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151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报告完成率</w:t>
            </w:r>
          </w:p>
        </w:tc>
        <w:tc>
          <w:tcPr>
            <w:tcW w:w="17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不合格油品下架率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品下架率达到</w:t>
            </w:r>
            <w:r>
              <w:rPr>
                <w:rFonts w:hint="default" w:eastAsia="宋体" w:cs="Calibri"/>
                <w:color w:val="000000"/>
                <w:sz w:val="18"/>
                <w:szCs w:val="18"/>
                <w:u w:val="none"/>
                <w:lang w:val="en-US" w:eastAsia="zh-CN"/>
              </w:rPr>
              <w:t>100%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下架率达</w:t>
            </w:r>
            <w:r>
              <w:rPr>
                <w:rFonts w:hint="default" w:eastAsia="宋体" w:cs="Calibri"/>
                <w:color w:val="000000"/>
                <w:sz w:val="18"/>
                <w:szCs w:val="18"/>
                <w:u w:val="none"/>
                <w:lang w:val="en-US" w:eastAsia="zh-CN"/>
              </w:rPr>
              <w:t>100%</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成品油经济效</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益指标完成率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是否按照工作</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172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249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9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按时完成率</w:t>
            </w:r>
          </w:p>
        </w:tc>
        <w:tc>
          <w:tcPr>
            <w:tcW w:w="151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抽检工作按时</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完成率</w:t>
            </w:r>
          </w:p>
        </w:tc>
        <w:tc>
          <w:tcPr>
            <w:tcW w:w="1779"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对成品油治理满意度</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满意度</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c>
          <w:tcPr>
            <w:tcW w:w="17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r>
    </w:tbl>
    <w:p>
      <w:pPr>
        <w:sectPr>
          <w:pgSz w:w="16838" w:h="11906" w:orient="landscape"/>
          <w:pgMar w:top="567" w:right="1440" w:bottom="567" w:left="1440" w:header="851" w:footer="992" w:gutter="0"/>
          <w:cols w:space="720" w:num="1"/>
          <w:docGrid w:type="lines" w:linePitch="312" w:charSpace="0"/>
        </w:sectPr>
      </w:pPr>
    </w:p>
    <w:tbl>
      <w:tblPr>
        <w:tblStyle w:val="4"/>
        <w:tblpPr w:leftFromText="180" w:rightFromText="180" w:vertAnchor="text" w:horzAnchor="page" w:tblpX="1453" w:tblpY="-249"/>
        <w:tblOverlap w:val="never"/>
        <w:tblW w:w="14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1430"/>
        <w:gridCol w:w="1700"/>
        <w:gridCol w:w="2374"/>
        <w:gridCol w:w="592"/>
        <w:gridCol w:w="516"/>
        <w:gridCol w:w="1970"/>
        <w:gridCol w:w="2374"/>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[13060522P00400510001K]2022-市场监督-重点工业品和消费品监督抽查经费</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3061" w:type="dxa"/>
            <w:gridSpan w:val="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重点工业品和消费品监督抽查经费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color w:val="000000"/>
                <w:sz w:val="20"/>
                <w:szCs w:val="20"/>
                <w:u w:val="none"/>
                <w:lang w:val="en-US" w:eastAsia="zh-CN"/>
              </w:rPr>
              <w:t>（累计支出比例）</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w:t>
            </w:r>
            <w:r>
              <w:rPr>
                <w:rFonts w:hint="eastAsia" w:ascii="宋体" w:hAnsi="宋体" w:eastAsia="宋体" w:cs="宋体"/>
                <w:b/>
                <w:bCs/>
                <w:color w:val="000000"/>
                <w:sz w:val="20"/>
                <w:szCs w:val="20"/>
                <w:u w:val="none"/>
                <w:lang w:val="en-US" w:eastAsia="zh-CN"/>
              </w:rPr>
              <w:t>月底</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w:t>
            </w:r>
            <w:r>
              <w:rPr>
                <w:rFonts w:hint="eastAsia" w:ascii="宋体" w:hAnsi="宋体" w:eastAsia="宋体" w:cs="宋体"/>
                <w:b/>
                <w:bCs/>
                <w:color w:val="000000"/>
                <w:sz w:val="20"/>
                <w:szCs w:val="20"/>
                <w:u w:val="none"/>
                <w:lang w:val="en-US" w:eastAsia="zh-CN"/>
              </w:rPr>
              <w:t>月底</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w:t>
            </w:r>
            <w:r>
              <w:rPr>
                <w:rFonts w:hint="eastAsia" w:ascii="宋体" w:hAnsi="宋体" w:eastAsia="宋体" w:cs="宋体"/>
                <w:b/>
                <w:bCs/>
                <w:color w:val="000000"/>
                <w:sz w:val="20"/>
                <w:szCs w:val="20"/>
                <w:u w:val="none"/>
                <w:lang w:val="en-US" w:eastAsia="zh-CN"/>
              </w:rPr>
              <w:t>月底</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w:t>
            </w:r>
            <w:r>
              <w:rPr>
                <w:rFonts w:hint="eastAsia" w:ascii="宋体" w:hAnsi="宋体" w:eastAsia="宋体" w:cs="宋体"/>
                <w:b/>
                <w:bCs/>
                <w:color w:val="000000"/>
                <w:sz w:val="20"/>
                <w:szCs w:val="20"/>
                <w:u w:val="none"/>
                <w:lang w:val="en-US" w:eastAsia="zh-CN"/>
              </w:rPr>
              <w:t>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1631"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按时完成重点工业品和消费品监督抽查工作任务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不合格产品处罚数量</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工业品等抽检产品不合格产品处罚率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依照相关法律对不合格产品进行查处</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案卷处治结果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抽检报告送达时间</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抽检报告送达及时性</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天</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7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59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检测结果合格率（%）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我局对重点领域商品合格率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商品合格率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提高抽检人员的工作效率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70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592"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374"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105" w:type="dxa"/>
            <w:tcBorders>
              <w:top w:val="single" w:color="000000" w:sz="4" w:space="0"/>
              <w:left w:val="single" w:color="000000" w:sz="4" w:space="0"/>
              <w:bottom w:val="single" w:color="000000" w:sz="4" w:space="0"/>
              <w:right w:val="single" w:color="000000" w:sz="4" w:space="0"/>
            </w:tcBorders>
            <w:vAlign w:val="top"/>
          </w:tcPr>
          <w:p>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满意度是否达标</w:t>
            </w:r>
          </w:p>
        </w:tc>
      </w:tr>
    </w:tbl>
    <w:p>
      <w:pPr>
        <w:sectPr>
          <w:pgSz w:w="16838" w:h="11906" w:orient="landscape"/>
          <w:pgMar w:top="567" w:right="1440" w:bottom="567" w:left="1440" w:header="851" w:footer="992" w:gutter="0"/>
          <w:cols w:space="720" w:num="1"/>
          <w:docGrid w:type="lines" w:linePitch="312" w:charSpace="0"/>
        </w:sect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保定市市场监督管理局白沟新城分局单位</w:t>
      </w:r>
      <w:r>
        <w:rPr>
          <w:rFonts w:hint="eastAsia" w:ascii="仿宋" w:hAnsi="仿宋" w:eastAsia="仿宋"/>
          <w:sz w:val="32"/>
          <w:szCs w:val="32"/>
        </w:rPr>
        <w:t>安排采购预算</w:t>
      </w:r>
      <w:r>
        <w:rPr>
          <w:rFonts w:hint="eastAsia" w:ascii="仿宋" w:hAnsi="仿宋" w:eastAsia="仿宋"/>
          <w:sz w:val="32"/>
          <w:szCs w:val="32"/>
          <w:lang w:val="en-US" w:eastAsia="zh-CN"/>
        </w:rPr>
        <w:t xml:space="preserve"> 0 </w:t>
      </w:r>
      <w:r>
        <w:rPr>
          <w:rFonts w:hint="eastAsia" w:ascii="仿宋" w:hAnsi="仿宋" w:eastAsia="仿宋"/>
          <w:sz w:val="32"/>
          <w:szCs w:val="32"/>
        </w:rPr>
        <w:t>万元。具体内容见下表：</w:t>
      </w:r>
    </w:p>
    <w:p>
      <w:pPr>
        <w:ind w:firstLine="640" w:firstLineChars="200"/>
        <w:jc w:val="left"/>
        <w:outlineLvl w:val="0"/>
        <w:rPr>
          <w:rFonts w:hint="eastAsia"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pPr>
              <w:spacing w:line="300" w:lineRule="exact"/>
              <w:jc w:val="center"/>
              <w:rPr>
                <w:rFonts w:ascii="????_GBK" w:eastAsia="Times New Roman"/>
                <w:b/>
              </w:rPr>
            </w:pPr>
            <w:r>
              <w:rPr>
                <w:rFonts w:ascii="????_GBK" w:eastAsia="Times New Roman"/>
                <w:b/>
              </w:rPr>
              <w:t>数量</w:t>
            </w:r>
          </w:p>
        </w:tc>
        <w:tc>
          <w:tcPr>
            <w:tcW w:w="679" w:type="dxa"/>
            <w:vMerge w:val="restart"/>
            <w:vAlign w:val="center"/>
          </w:tcPr>
          <w:p>
            <w:pPr>
              <w:spacing w:line="300" w:lineRule="exact"/>
              <w:jc w:val="center"/>
              <w:rPr>
                <w:rFonts w:ascii="????_GBK" w:eastAsia="Times New Roman"/>
                <w:b/>
              </w:rPr>
            </w:pPr>
            <w:r>
              <w:rPr>
                <w:rFonts w:ascii="????_GBK" w:eastAsia="Times New Roman"/>
                <w:b/>
              </w:rPr>
              <w:t>单价</w:t>
            </w:r>
          </w:p>
        </w:tc>
        <w:tc>
          <w:tcPr>
            <w:tcW w:w="4740"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restart"/>
            <w:vAlign w:val="center"/>
          </w:tcPr>
          <w:p>
            <w:pPr>
              <w:spacing w:line="300" w:lineRule="exact"/>
              <w:jc w:val="center"/>
              <w:rPr>
                <w:rFonts w:ascii="????_GBK" w:eastAsia="Times New Roman"/>
                <w:b/>
              </w:rPr>
            </w:pPr>
            <w:r>
              <w:rPr>
                <w:rFonts w:ascii="????_GBK" w:eastAsia="Times New Roman"/>
                <w:b/>
              </w:rPr>
              <w:t>总计</w:t>
            </w:r>
          </w:p>
        </w:tc>
        <w:tc>
          <w:tcPr>
            <w:tcW w:w="3406"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22"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continue"/>
            <w:vAlign w:val="center"/>
          </w:tcPr>
          <w:p>
            <w:pPr>
              <w:spacing w:line="300" w:lineRule="exact"/>
              <w:jc w:val="left"/>
              <w:outlineLvl w:val="0"/>
            </w:pPr>
          </w:p>
        </w:tc>
        <w:tc>
          <w:tcPr>
            <w:tcW w:w="711" w:type="dxa"/>
            <w:vAlign w:val="center"/>
          </w:tcPr>
          <w:p>
            <w:pPr>
              <w:spacing w:line="300" w:lineRule="exact"/>
              <w:jc w:val="center"/>
              <w:rPr>
                <w:rFonts w:ascii="????_GBK" w:eastAsia="Times New Roman"/>
                <w:b/>
              </w:rPr>
            </w:pPr>
            <w:r>
              <w:rPr>
                <w:rFonts w:ascii="????_GBK" w:eastAsia="Times New Roman"/>
                <w:b/>
              </w:rPr>
              <w:t>合计</w:t>
            </w:r>
          </w:p>
        </w:tc>
        <w:tc>
          <w:tcPr>
            <w:tcW w:w="711" w:type="dxa"/>
            <w:vAlign w:val="center"/>
          </w:tcPr>
          <w:p>
            <w:pPr>
              <w:spacing w:line="300" w:lineRule="exact"/>
              <w:jc w:val="center"/>
              <w:rPr>
                <w:rFonts w:ascii="????_GBK" w:eastAsia="Times New Roman"/>
                <w:b/>
              </w:rPr>
            </w:pPr>
            <w:r>
              <w:rPr>
                <w:rFonts w:ascii="????_GBK" w:eastAsia="Times New Roman"/>
                <w:b/>
              </w:rPr>
              <w:t>一般公共预算拨款</w:t>
            </w:r>
          </w:p>
        </w:tc>
        <w:tc>
          <w:tcPr>
            <w:tcW w:w="660" w:type="dxa"/>
            <w:vAlign w:val="center"/>
          </w:tcPr>
          <w:p>
            <w:pPr>
              <w:spacing w:line="300" w:lineRule="exact"/>
              <w:jc w:val="center"/>
              <w:rPr>
                <w:rFonts w:ascii="????_GBK" w:eastAsia="Times New Roman"/>
                <w:b/>
              </w:rPr>
            </w:pPr>
            <w:r>
              <w:rPr>
                <w:rFonts w:ascii="????_GBK" w:eastAsia="Times New Roman"/>
                <w:b/>
              </w:rPr>
              <w:t>基金预算拨款</w:t>
            </w:r>
          </w:p>
        </w:tc>
        <w:tc>
          <w:tcPr>
            <w:tcW w:w="662" w:type="dxa"/>
            <w:vAlign w:val="center"/>
          </w:tcPr>
          <w:p>
            <w:pPr>
              <w:spacing w:line="300" w:lineRule="exact"/>
              <w:jc w:val="center"/>
              <w:rPr>
                <w:rFonts w:ascii="????_GBK" w:eastAsia="Times New Roman"/>
                <w:b/>
              </w:rPr>
            </w:pPr>
            <w:r>
              <w:rPr>
                <w:rFonts w:ascii="????_GBK" w:eastAsia="Times New Roman"/>
                <w:b/>
              </w:rPr>
              <w:t>财政专户核拨</w:t>
            </w:r>
          </w:p>
        </w:tc>
        <w:tc>
          <w:tcPr>
            <w:tcW w:w="662" w:type="dxa"/>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pPr>
              <w:spacing w:line="300" w:lineRule="exact"/>
              <w:jc w:val="center"/>
              <w:rPr>
                <w:rFonts w:ascii="????_GBK" w:eastAsia="Times New Roman"/>
                <w:b/>
              </w:rPr>
            </w:pPr>
            <w:r>
              <w:rPr>
                <w:rFonts w:ascii="????_GBK" w:eastAsia="Times New Roman"/>
                <w:b/>
              </w:rPr>
              <w:t>合　计</w:t>
            </w:r>
          </w:p>
        </w:tc>
        <w:tc>
          <w:tcPr>
            <w:tcW w:w="885" w:type="dxa"/>
            <w:vAlign w:val="center"/>
          </w:tcPr>
          <w:p>
            <w:pPr>
              <w:spacing w:line="300" w:lineRule="exact"/>
              <w:jc w:val="right"/>
              <w:rPr>
                <w:rFonts w:ascii="????_GBK"/>
                <w:b/>
              </w:rPr>
            </w:pPr>
          </w:p>
        </w:tc>
        <w:tc>
          <w:tcPr>
            <w:tcW w:w="1575" w:type="dxa"/>
            <w:vAlign w:val="center"/>
          </w:tcPr>
          <w:p>
            <w:pPr>
              <w:spacing w:line="300" w:lineRule="exact"/>
              <w:jc w:val="left"/>
              <w:rPr>
                <w:rFonts w:ascii="????_GBK" w:eastAsia="Times New Roman"/>
                <w:b/>
              </w:rPr>
            </w:pPr>
          </w:p>
        </w:tc>
        <w:tc>
          <w:tcPr>
            <w:tcW w:w="825" w:type="dxa"/>
            <w:vAlign w:val="center"/>
          </w:tcPr>
          <w:p>
            <w:pPr>
              <w:spacing w:line="300" w:lineRule="exact"/>
              <w:jc w:val="left"/>
              <w:rPr>
                <w:rFonts w:ascii="????_GBK" w:eastAsia="Times New Roman"/>
                <w:b/>
              </w:rPr>
            </w:pPr>
          </w:p>
        </w:tc>
        <w:tc>
          <w:tcPr>
            <w:tcW w:w="407" w:type="dxa"/>
            <w:vAlign w:val="center"/>
          </w:tcPr>
          <w:p>
            <w:pPr>
              <w:spacing w:line="300" w:lineRule="exact"/>
              <w:jc w:val="left"/>
              <w:rPr>
                <w:rFonts w:ascii="????_GBK" w:eastAsia="Times New Roman"/>
                <w:b/>
              </w:rPr>
            </w:pPr>
          </w:p>
        </w:tc>
        <w:tc>
          <w:tcPr>
            <w:tcW w:w="661" w:type="dxa"/>
            <w:vAlign w:val="center"/>
          </w:tcPr>
          <w:p>
            <w:pPr>
              <w:spacing w:line="300" w:lineRule="exact"/>
              <w:jc w:val="right"/>
              <w:rPr>
                <w:rFonts w:ascii="????_GBK" w:eastAsia="Times New Roman"/>
                <w:b/>
              </w:rPr>
            </w:pPr>
          </w:p>
        </w:tc>
        <w:tc>
          <w:tcPr>
            <w:tcW w:w="679" w:type="dxa"/>
            <w:vAlign w:val="center"/>
          </w:tcPr>
          <w:p>
            <w:pPr>
              <w:spacing w:line="300" w:lineRule="exact"/>
              <w:jc w:val="right"/>
              <w:rPr>
                <w:rFonts w:ascii="????_GBK" w:eastAsia="Times New Roman"/>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b/>
              </w:rPr>
            </w:pPr>
          </w:p>
        </w:tc>
        <w:tc>
          <w:tcPr>
            <w:tcW w:w="885" w:type="dxa"/>
            <w:vAlign w:val="center"/>
          </w:tcPr>
          <w:p>
            <w:pPr>
              <w:spacing w:line="300" w:lineRule="exact"/>
              <w:jc w:val="right"/>
              <w:rPr>
                <w:rFonts w:ascii="????_GBK"/>
                <w:b/>
              </w:rPr>
            </w:pPr>
          </w:p>
        </w:tc>
        <w:tc>
          <w:tcPr>
            <w:tcW w:w="1575" w:type="dxa"/>
            <w:vAlign w:val="center"/>
          </w:tcPr>
          <w:p>
            <w:pPr>
              <w:spacing w:line="300" w:lineRule="exact"/>
              <w:jc w:val="left"/>
              <w:rPr>
                <w:rFonts w:ascii="????_GBK"/>
                <w:b/>
              </w:rPr>
            </w:pPr>
          </w:p>
        </w:tc>
        <w:tc>
          <w:tcPr>
            <w:tcW w:w="825"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right"/>
              <w:rPr>
                <w:rFonts w:ascii="????_GBK"/>
                <w:b/>
              </w:rPr>
            </w:pPr>
          </w:p>
        </w:tc>
        <w:tc>
          <w:tcPr>
            <w:tcW w:w="1575" w:type="dxa"/>
            <w:vAlign w:val="center"/>
          </w:tcPr>
          <w:p>
            <w:pPr>
              <w:spacing w:line="300" w:lineRule="exact"/>
              <w:jc w:val="left"/>
              <w:rPr>
                <w:rFonts w:ascii="????_GBK"/>
                <w:b/>
              </w:rPr>
            </w:pPr>
          </w:p>
        </w:tc>
        <w:tc>
          <w:tcPr>
            <w:tcW w:w="825"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eastAsia="Times New Roman"/>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p>
        </w:tc>
        <w:tc>
          <w:tcPr>
            <w:tcW w:w="885" w:type="dxa"/>
            <w:vAlign w:val="center"/>
          </w:tcPr>
          <w:p>
            <w:pPr>
              <w:spacing w:line="300" w:lineRule="exact"/>
              <w:jc w:val="right"/>
              <w:rPr>
                <w:rFonts w:ascii="????_GBK"/>
                <w:b/>
              </w:rPr>
            </w:pPr>
          </w:p>
        </w:tc>
        <w:tc>
          <w:tcPr>
            <w:tcW w:w="1575" w:type="dxa"/>
            <w:vAlign w:val="center"/>
          </w:tcPr>
          <w:p>
            <w:pPr>
              <w:spacing w:line="300" w:lineRule="exact"/>
              <w:jc w:val="left"/>
              <w:rPr>
                <w:rFonts w:ascii="????_GBK"/>
                <w:b/>
              </w:rPr>
            </w:pPr>
          </w:p>
        </w:tc>
        <w:tc>
          <w:tcPr>
            <w:tcW w:w="825" w:type="dxa"/>
            <w:vAlign w:val="center"/>
          </w:tcPr>
          <w:p>
            <w:pPr>
              <w:spacing w:line="300" w:lineRule="exact"/>
              <w:jc w:val="left"/>
              <w:rPr>
                <w:rFonts w:ascii="????_GBK"/>
                <w:b/>
              </w:rPr>
            </w:pPr>
          </w:p>
        </w:tc>
        <w:tc>
          <w:tcPr>
            <w:tcW w:w="407" w:type="dxa"/>
            <w:vAlign w:val="center"/>
          </w:tcPr>
          <w:p>
            <w:pPr>
              <w:spacing w:line="300" w:lineRule="exact"/>
              <w:jc w:val="left"/>
              <w:rPr>
                <w:rFonts w:ascii="????_GBK"/>
                <w:b/>
              </w:rPr>
            </w:pPr>
          </w:p>
        </w:tc>
        <w:tc>
          <w:tcPr>
            <w:tcW w:w="661" w:type="dxa"/>
            <w:vAlign w:val="center"/>
          </w:tcPr>
          <w:p>
            <w:pPr>
              <w:spacing w:line="300" w:lineRule="exact"/>
              <w:jc w:val="right"/>
              <w:rPr>
                <w:rFonts w:ascii="????_GBK"/>
                <w:b/>
              </w:rPr>
            </w:pPr>
          </w:p>
        </w:tc>
        <w:tc>
          <w:tcPr>
            <w:tcW w:w="679" w:type="dxa"/>
            <w:vAlign w:val="center"/>
          </w:tcPr>
          <w:p>
            <w:pPr>
              <w:spacing w:line="300" w:lineRule="exact"/>
              <w:jc w:val="right"/>
              <w:rPr>
                <w:rFonts w:ascii="????_GBK"/>
                <w:b/>
              </w:rPr>
            </w:pPr>
          </w:p>
        </w:tc>
        <w:tc>
          <w:tcPr>
            <w:tcW w:w="712"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711" w:type="dxa"/>
            <w:vAlign w:val="center"/>
          </w:tcPr>
          <w:p>
            <w:pPr>
              <w:spacing w:line="300" w:lineRule="exact"/>
              <w:jc w:val="right"/>
              <w:rPr>
                <w:rFonts w:ascii="????_GBK"/>
                <w:b/>
              </w:rPr>
            </w:pP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bl>
    <w:p>
      <w:pPr>
        <w:jc w:val="both"/>
        <w:rPr>
          <w:rFonts w:hint="eastAsia" w:ascii="黑体" w:hAnsi="黑体" w:eastAsia="黑体"/>
          <w:sz w:val="32"/>
          <w:szCs w:val="32"/>
        </w:rPr>
      </w:pPr>
    </w:p>
    <w:p>
      <w:pPr>
        <w:jc w:val="both"/>
        <w:rPr>
          <w:rFonts w:hint="eastAsia" w:ascii="黑体" w:hAnsi="黑体" w:eastAsia="黑体"/>
          <w:sz w:val="32"/>
          <w:szCs w:val="32"/>
        </w:rPr>
      </w:pPr>
    </w:p>
    <w:p>
      <w:pPr>
        <w:ind w:firstLine="1600" w:firstLineChars="500"/>
        <w:jc w:val="both"/>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hint="eastAsia" w:ascii="仿宋" w:hAnsi="仿宋" w:eastAsia="仿宋"/>
          <w:sz w:val="32"/>
          <w:szCs w:val="32"/>
          <w:lang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 xml:space="preserve"> 215.66</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万元，主要为</w:t>
      </w:r>
      <w:r>
        <w:rPr>
          <w:rFonts w:hint="eastAsia" w:ascii="仿宋" w:hAnsi="仿宋" w:eastAsia="仿宋"/>
          <w:sz w:val="32"/>
          <w:szCs w:val="32"/>
          <w:lang w:val="en-US" w:eastAsia="zh-CN"/>
        </w:rPr>
        <w:t>通用设备-一般设备、专用设备、通用设备-交通运输设备、家具用具装具及动植物类，</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ind w:firstLine="640" w:firstLineChars="200"/>
        <w:jc w:val="left"/>
        <w:rPr>
          <w:rFonts w:hint="eastAsia" w:ascii="仿宋" w:hAnsi="仿宋" w:eastAsia="仿宋"/>
          <w:sz w:val="32"/>
          <w:szCs w:val="32"/>
          <w:lang w:eastAsia="zh-CN"/>
        </w:rPr>
      </w:pPr>
    </w:p>
    <w:p>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预算单位编码及名称999014保定市市场监督管理局白沟新城分局</w:t>
            </w:r>
          </w:p>
        </w:tc>
        <w:tc>
          <w:tcPr>
            <w:tcW w:w="3617" w:type="dxa"/>
            <w:tcBorders>
              <w:top w:val="nil"/>
              <w:left w:val="nil"/>
              <w:bottom w:val="nil"/>
              <w:right w:val="nil"/>
            </w:tcBorders>
            <w:vAlign w:val="center"/>
          </w:tcPr>
          <w:p>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 w:val="21"/>
                <w:szCs w:val="21"/>
                <w:lang w:val="en-US" w:eastAsia="zh-CN" w:bidi="ar-SA"/>
              </w:rPr>
            </w:pPr>
            <w:r>
              <w:rPr>
                <w:rFonts w:hint="eastAsia"/>
                <w:lang w:val="en-US" w:eastAsia="zh-CN"/>
              </w:rPr>
              <w:t>215.66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1085</w:t>
            </w:r>
          </w:p>
        </w:tc>
        <w:tc>
          <w:tcPr>
            <w:tcW w:w="3617" w:type="dxa"/>
            <w:tcBorders>
              <w:top w:val="nil"/>
              <w:left w:val="nil"/>
              <w:bottom w:val="single" w:color="auto" w:sz="4" w:space="0"/>
              <w:right w:val="single" w:color="auto" w:sz="4" w:space="0"/>
            </w:tcBorders>
            <w:vAlign w:val="center"/>
          </w:tcPr>
          <w:p>
            <w:pPr>
              <w:widowControl/>
              <w:jc w:val="center"/>
              <w:rPr>
                <w:rFonts w:hint="default"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142.81</w:t>
            </w:r>
          </w:p>
        </w:tc>
      </w:tr>
    </w:tbl>
    <w:p>
      <w:pPr>
        <w:spacing w:line="520" w:lineRule="exact"/>
        <w:ind w:firstLine="640" w:firstLineChars="200"/>
        <w:rPr>
          <w:rFonts w:hint="eastAsia" w:ascii="仿宋" w:hAnsi="仿宋" w:eastAsia="仿宋"/>
          <w:sz w:val="32"/>
          <w:szCs w:val="32"/>
        </w:rPr>
      </w:pPr>
    </w:p>
    <w:p>
      <w:pPr>
        <w:spacing w:line="520" w:lineRule="exact"/>
        <w:jc w:val="cente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0"/>
        <w:rPr>
          <w:rFonts w:ascii="黑体" w:hAnsi="黑体" w:eastAsia="黑体"/>
          <w:sz w:val="32"/>
          <w:szCs w:val="32"/>
        </w:rPr>
      </w:pPr>
      <w:r>
        <w:rPr>
          <w:rFonts w:hint="eastAsia" w:ascii="黑体" w:hAnsi="黑体" w:eastAsia="黑体"/>
          <w:sz w:val="32"/>
          <w:szCs w:val="32"/>
        </w:rPr>
        <w:t>第八部分：名词解释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rPr>
          <w:rFonts w:ascii="宋体" w:cs="宋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0"/>
        <w:rPr>
          <w:rFonts w:ascii="黑体" w:hAnsi="黑体" w:eastAsia="黑体"/>
          <w:sz w:val="32"/>
          <w:szCs w:val="32"/>
        </w:rPr>
      </w:pPr>
      <w:r>
        <w:rPr>
          <w:rFonts w:hint="eastAsia" w:ascii="黑体" w:hAnsi="黑体" w:eastAsia="黑体"/>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无其他需说明的事项。</w:t>
      </w:r>
    </w:p>
    <w:p>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4"/>
    <w:multiLevelType w:val="singleLevel"/>
    <w:tmpl w:val="00000004"/>
    <w:lvl w:ilvl="0" w:tentative="0">
      <w:start w:val="1"/>
      <w:numFmt w:val="chineseCounting"/>
      <w:suff w:val="nothing"/>
      <w:lvlText w:val="%1、"/>
      <w:lvlJc w:val="left"/>
    </w:lvl>
  </w:abstractNum>
  <w:abstractNum w:abstractNumId="2">
    <w:nsid w:val="00000005"/>
    <w:multiLevelType w:val="singleLevel"/>
    <w:tmpl w:val="0000000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2ZhNzNiNTllMzNiMGIyMTJhMDJiZmUyMTcxZWYifQ=="/>
  </w:docVars>
  <w:rsids>
    <w:rsidRoot w:val="00000000"/>
    <w:rsid w:val="23CB4EE7"/>
    <w:rsid w:val="320130F8"/>
    <w:rsid w:val="397A4664"/>
    <w:rsid w:val="466D6BAC"/>
    <w:rsid w:val="64FB1A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cs="Times New Roman"/>
      <w:kern w:val="2"/>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uiPriority w:val="0"/>
    <w:pPr>
      <w:ind w:firstLine="420" w:firstLineChars="200"/>
    </w:pPr>
  </w:style>
  <w:style w:type="character" w:customStyle="1" w:styleId="8">
    <w:name w:val="page number"/>
    <w:basedOn w:val="5"/>
    <w:uiPriority w:val="0"/>
  </w:style>
  <w:style w:type="character" w:customStyle="1" w:styleId="9">
    <w:name w:val="Footer Char"/>
    <w:basedOn w:val="5"/>
    <w:link w:val="2"/>
    <w:semiHidden/>
    <w:uiPriority w:val="0"/>
    <w:rPr>
      <w:rFonts w:cs="Times New Roman"/>
      <w:kern w:val="2"/>
      <w:sz w:val="18"/>
      <w:szCs w:val="18"/>
    </w:rPr>
  </w:style>
  <w:style w:type="character" w:customStyle="1" w:styleId="10">
    <w:name w:val="Header Char"/>
    <w:basedOn w:val="5"/>
    <w:link w:val="3"/>
    <w:semiHidden/>
    <w:uiPriority w:val="0"/>
    <w:rPr>
      <w:rFonts w:cs="Times New Roman"/>
      <w:kern w:val="2"/>
      <w:sz w:val="18"/>
      <w:szCs w:val="18"/>
    </w:rPr>
  </w:style>
  <w:style w:type="character" w:customStyle="1" w:styleId="11">
    <w:name w:val="apple-converted-space"/>
    <w:basedOn w:val="5"/>
    <w:qFormat/>
    <w:uiPriority w:val="0"/>
    <w:rPr>
      <w:rFonts w:cs="Times New Roman"/>
    </w:rPr>
  </w:style>
  <w:style w:type="character" w:customStyle="1" w:styleId="12">
    <w:name w:val="fontstyle11"/>
    <w:basedOn w:val="5"/>
    <w:uiPriority w:val="0"/>
    <w:rPr>
      <w:rFonts w:ascii="仿宋" w:hAnsi="仿宋" w:eastAsia="仿宋" w:cs="仿宋"/>
      <w:color w:val="000000"/>
      <w:sz w:val="32"/>
      <w:szCs w:val="32"/>
    </w:rPr>
  </w:style>
  <w:style w:type="character" w:customStyle="1" w:styleId="13">
    <w:name w:val="fontstyle41"/>
    <w:basedOn w:val="5"/>
    <w:uiPriority w:val="0"/>
    <w:rPr>
      <w:rFonts w:ascii="楷体" w:hAnsi="楷体" w:eastAsia="楷体" w:cs="楷体"/>
      <w:color w:val="000000"/>
      <w:sz w:val="32"/>
      <w:szCs w:val="32"/>
    </w:rPr>
  </w:style>
  <w:style w:type="character" w:customStyle="1" w:styleId="14">
    <w:name w:val="font51"/>
    <w:basedOn w:val="5"/>
    <w:uiPriority w:val="0"/>
    <w:rPr>
      <w:rFonts w:hint="eastAsia" w:ascii="宋体" w:hAnsi="宋体" w:eastAsia="宋体" w:cs="宋体"/>
      <w:color w:val="000000"/>
      <w:sz w:val="20"/>
      <w:szCs w:val="20"/>
      <w:u w:val="none"/>
    </w:rPr>
  </w:style>
  <w:style w:type="character" w:customStyle="1" w:styleId="15">
    <w:name w:val="font31"/>
    <w:basedOn w:val="5"/>
    <w:uiPriority w:val="0"/>
    <w:rPr>
      <w:rFonts w:hint="default" w:ascii="Calibri" w:hAnsi="Calibri" w:cs="Calibri"/>
      <w:color w:val="000000"/>
      <w:sz w:val="20"/>
      <w:szCs w:val="20"/>
      <w:u w:val="none"/>
    </w:rPr>
  </w:style>
  <w:style w:type="character" w:customStyle="1" w:styleId="16">
    <w:name w:val="font61"/>
    <w:basedOn w:val="5"/>
    <w:uiPriority w:val="0"/>
    <w:rPr>
      <w:rFonts w:hint="default" w:ascii="Calibri" w:hAnsi="Calibri" w:cs="Calibri"/>
      <w:b/>
      <w:bCs/>
      <w:color w:val="000000"/>
      <w:sz w:val="20"/>
      <w:szCs w:val="20"/>
      <w:u w:val="none"/>
    </w:rPr>
  </w:style>
  <w:style w:type="character" w:customStyle="1" w:styleId="17">
    <w:name w:val="font01"/>
    <w:basedOn w:val="5"/>
    <w:uiPriority w:val="0"/>
    <w:rPr>
      <w:rFonts w:hint="eastAsia" w:ascii="宋体" w:hAnsi="宋体" w:eastAsia="宋体" w:cs="宋体"/>
      <w:b/>
      <w:bCs/>
      <w:color w:val="000000"/>
      <w:sz w:val="20"/>
      <w:szCs w:val="20"/>
      <w:u w:val="none"/>
    </w:rPr>
  </w:style>
  <w:style w:type="character" w:customStyle="1" w:styleId="18">
    <w:name w:val="font81"/>
    <w:basedOn w:val="5"/>
    <w:uiPriority w:val="0"/>
    <w:rPr>
      <w:rFonts w:hint="default" w:ascii="Calibri" w:hAnsi="Calibri" w:cs="Calibri"/>
      <w:color w:val="000000"/>
      <w:sz w:val="20"/>
      <w:szCs w:val="20"/>
      <w:u w:val="none"/>
    </w:rPr>
  </w:style>
  <w:style w:type="character" w:customStyle="1" w:styleId="19">
    <w:name w:val="font71"/>
    <w:basedOn w:val="5"/>
    <w:uiPriority w:val="0"/>
    <w:rPr>
      <w:rFonts w:hint="eastAsia" w:ascii="宋体" w:hAnsi="宋体" w:eastAsia="宋体" w:cs="宋体"/>
      <w:color w:val="000000"/>
      <w:sz w:val="20"/>
      <w:szCs w:val="20"/>
      <w:u w:val="none"/>
    </w:rPr>
  </w:style>
  <w:style w:type="character" w:customStyle="1" w:styleId="20">
    <w:name w:val="font11"/>
    <w:basedOn w:val="5"/>
    <w:uiPriority w:val="0"/>
    <w:rPr>
      <w:rFonts w:hint="default" w:ascii="Calibri" w:hAnsi="Calibri" w:cs="Calibri"/>
      <w:color w:val="000000"/>
      <w:sz w:val="18"/>
      <w:szCs w:val="18"/>
      <w:u w:val="none"/>
    </w:rPr>
  </w:style>
  <w:style w:type="character" w:customStyle="1" w:styleId="21">
    <w:name w:val="font41"/>
    <w:basedOn w:val="5"/>
    <w:uiPriority w:val="0"/>
    <w:rPr>
      <w:rFonts w:hint="eastAsia" w:ascii="宋体" w:hAnsi="宋体" w:eastAsia="宋体" w:cs="宋体"/>
      <w:b/>
      <w:bCs/>
      <w:color w:val="000000"/>
      <w:sz w:val="18"/>
      <w:szCs w:val="18"/>
      <w:u w:val="none"/>
    </w:rPr>
  </w:style>
  <w:style w:type="character" w:customStyle="1" w:styleId="22">
    <w:name w:val="font21"/>
    <w:basedOn w:val="5"/>
    <w:uiPriority w:val="0"/>
    <w:rPr>
      <w:rFonts w:hint="eastAsia" w:ascii="宋体" w:hAnsi="宋体" w:eastAsia="宋体" w:cs="宋体"/>
      <w:b/>
      <w:bCs/>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14</Pages>
  <Words>6422</Words>
  <Characters>6900</Characters>
  <Lines>0</Lines>
  <Paragraphs>0</Paragraphs>
  <TotalTime>3</TotalTime>
  <ScaleCrop>false</ScaleCrop>
  <LinksUpToDate>false</LinksUpToDate>
  <CharactersWithSpaces>6952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菲。</cp:lastModifiedBy>
  <cp:lastPrinted>2017-04-27T00:49:00Z</cp:lastPrinted>
  <dcterms:modified xsi:type="dcterms:W3CDTF">2023-08-18T01:34:54Z</dcterms:modified>
  <dc:title>小兔子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EDB95F9BF5734D99AADA1E3A4468F526_13</vt:lpwstr>
  </property>
</Properties>
</file>