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0" w:lineRule="atLeast"/>
        <w:jc w:val="center"/>
        <w:rPr>
          <w:rFonts w:ascii="宋体" w:cs="黑体"/>
          <w:b/>
          <w:sz w:val="44"/>
          <w:szCs w:val="44"/>
          <w:highlight w:val="none"/>
        </w:rPr>
      </w:pPr>
      <w:r>
        <w:rPr>
          <w:rFonts w:hint="eastAsia" w:ascii="宋体" w:hAnsi="宋体" w:cs="黑体"/>
          <w:b/>
          <w:sz w:val="44"/>
          <w:szCs w:val="44"/>
          <w:highlight w:val="none"/>
        </w:rPr>
        <w:t>保定白沟新城规划建设局</w:t>
      </w:r>
    </w:p>
    <w:p>
      <w:pPr>
        <w:spacing w:afterLines="100" w:line="0" w:lineRule="atLeast"/>
        <w:jc w:val="center"/>
        <w:rPr>
          <w:rFonts w:ascii="宋体" w:cs="黑体"/>
          <w:b/>
          <w:sz w:val="44"/>
          <w:szCs w:val="44"/>
          <w:highlight w:val="none"/>
        </w:rPr>
      </w:pPr>
      <w:r>
        <w:rPr>
          <w:rFonts w:ascii="宋体" w:hAnsi="宋体"/>
          <w:b/>
          <w:sz w:val="44"/>
          <w:szCs w:val="44"/>
          <w:highlight w:val="none"/>
        </w:rPr>
        <w:t>20</w:t>
      </w:r>
      <w:r>
        <w:rPr>
          <w:rFonts w:hint="eastAsia" w:ascii="宋体" w:hAnsi="宋体"/>
          <w:b/>
          <w:sz w:val="44"/>
          <w:szCs w:val="44"/>
          <w:highlight w:val="none"/>
        </w:rPr>
        <w:t>21年部门预算信息公开</w:t>
      </w:r>
    </w:p>
    <w:p>
      <w:pPr>
        <w:spacing w:line="520" w:lineRule="exact"/>
        <w:ind w:firstLine="640" w:firstLineChars="200"/>
        <w:jc w:val="left"/>
        <w:rPr>
          <w:rFonts w:ascii="仿宋" w:hAnsi="仿宋" w:eastAsia="仿宋" w:cs="仿宋_GB2312"/>
          <w:sz w:val="32"/>
          <w:szCs w:val="32"/>
          <w:highlight w:val="none"/>
        </w:rPr>
      </w:pPr>
    </w:p>
    <w:p>
      <w:pPr>
        <w:spacing w:line="520" w:lineRule="exact"/>
        <w:ind w:firstLine="1280" w:firstLineChars="400"/>
        <w:jc w:val="left"/>
        <w:rPr>
          <w:rFonts w:ascii="黑体" w:hAnsi="黑体" w:eastAsia="黑体"/>
          <w:sz w:val="32"/>
          <w:szCs w:val="32"/>
          <w:highlight w:val="none"/>
        </w:rPr>
      </w:pPr>
      <w:r>
        <w:rPr>
          <w:rFonts w:hint="eastAsia" w:ascii="仿宋" w:hAnsi="仿宋" w:eastAsia="仿宋" w:cs="仿宋_GB2312"/>
          <w:sz w:val="32"/>
          <w:szCs w:val="32"/>
          <w:highlight w:val="none"/>
        </w:rPr>
        <w:t>按照《预算法》规定，现将保定白沟新城规划建设局2021年部门预算公开如下：</w:t>
      </w:r>
    </w:p>
    <w:p>
      <w:pPr>
        <w:spacing w:line="520" w:lineRule="exact"/>
        <w:ind w:firstLine="643" w:firstLineChars="200"/>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第一部分:部门职责及机构设置情况</w:t>
      </w:r>
    </w:p>
    <w:p>
      <w:pPr>
        <w:ind w:firstLine="1285" w:firstLineChars="4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一、部门职责</w:t>
      </w:r>
    </w:p>
    <w:p>
      <w:pPr>
        <w:pStyle w:val="14"/>
        <w:widowControl/>
        <w:spacing w:line="560" w:lineRule="exact"/>
        <w:ind w:left="64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根据保定白沟新城管理委员会《关于印发规划建设局职能配置、机构设置和人员编制规定的通知》（白管字[2012]90号），现将我局部门概况说明如下：</w:t>
      </w:r>
    </w:p>
    <w:p>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（一）贯彻执行国家、省、市城乡规划的法律、法规、规章及有关方针、政策；</w:t>
      </w:r>
    </w:p>
    <w:p>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（二）负责辖区内城乡规划管理的日常工作，拟订有关规划、规定、细则等规范性文件；</w:t>
      </w:r>
    </w:p>
    <w:p>
      <w:pPr>
        <w:pStyle w:val="14"/>
        <w:widowControl/>
        <w:spacing w:line="560" w:lineRule="exact"/>
        <w:ind w:firstLine="960" w:firstLineChars="300"/>
        <w:rPr>
          <w:rFonts w:ascii="仿宋" w:hAnsi="仿宋" w:eastAsia="仿宋" w:cs="仿宋"/>
          <w:sz w:val="32"/>
          <w:szCs w:val="32"/>
          <w:highlight w:val="none"/>
        </w:rPr>
      </w:pPr>
      <w:r>
        <w:rPr>
          <w:rFonts w:hint="eastAsia" w:ascii="仿宋" w:hAnsi="仿宋" w:eastAsia="仿宋" w:cs="仿宋"/>
          <w:sz w:val="32"/>
          <w:szCs w:val="32"/>
          <w:highlight w:val="none"/>
        </w:rPr>
        <w:t>（三）负责辖区内规划行政执法工作；</w:t>
      </w:r>
    </w:p>
    <w:p>
      <w:pPr>
        <w:pStyle w:val="14"/>
        <w:widowControl/>
        <w:spacing w:line="560" w:lineRule="exact"/>
        <w:ind w:left="640"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（四）贯彻执行国家、省、市有关城乡建设、城市管理、房地产管理等相关工作的法律、法规、方针、政策；</w:t>
      </w:r>
    </w:p>
    <w:p>
      <w:pPr>
        <w:pStyle w:val="14"/>
        <w:widowControl/>
        <w:spacing w:line="560" w:lineRule="exact"/>
        <w:ind w:left="638" w:leftChars="304" w:firstLine="320" w:firstLineChars="100"/>
        <w:rPr>
          <w:rFonts w:ascii="仿宋" w:hAnsi="仿宋" w:eastAsia="仿宋" w:cs="仿宋"/>
          <w:sz w:val="32"/>
          <w:szCs w:val="32"/>
          <w:highlight w:val="none"/>
        </w:rPr>
      </w:pPr>
      <w:r>
        <w:rPr>
          <w:rFonts w:hint="eastAsia" w:ascii="仿宋" w:hAnsi="仿宋" w:eastAsia="仿宋" w:cs="仿宋"/>
          <w:sz w:val="32"/>
          <w:szCs w:val="32"/>
          <w:highlight w:val="none"/>
        </w:rPr>
        <w:t>（五）负责辖区内城乡建设、市政、房地产管理及城市管理等工作，拟定有关规划、规定、条例等规范性文件，并贯彻执行，对日常工作进行监督、检查、指导；</w:t>
      </w:r>
    </w:p>
    <w:p>
      <w:pPr>
        <w:pStyle w:val="1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（六）负责辖区内建设行政执法工作；</w:t>
      </w:r>
    </w:p>
    <w:p>
      <w:pPr>
        <w:pStyle w:val="14"/>
        <w:widowControl/>
        <w:spacing w:line="560" w:lineRule="exact"/>
        <w:ind w:left="800" w:leftChars="381" w:firstLine="160" w:firstLineChars="50"/>
        <w:rPr>
          <w:rFonts w:ascii="仿宋" w:hAnsi="仿宋" w:eastAsia="仿宋" w:cs="仿宋"/>
          <w:sz w:val="32"/>
          <w:szCs w:val="32"/>
          <w:highlight w:val="none"/>
        </w:rPr>
      </w:pPr>
      <w:r>
        <w:rPr>
          <w:rFonts w:hint="eastAsia" w:ascii="仿宋" w:hAnsi="仿宋" w:eastAsia="仿宋" w:cs="仿宋"/>
          <w:sz w:val="32"/>
          <w:szCs w:val="32"/>
          <w:highlight w:val="none"/>
        </w:rPr>
        <w:t>（七）负责拟定和实施城市管理的有关规定；</w:t>
      </w:r>
    </w:p>
    <w:p>
      <w:pPr>
        <w:pStyle w:val="14"/>
        <w:widowControl/>
        <w:numPr>
          <w:ilvl w:val="0"/>
          <w:numId w:val="1"/>
        </w:numPr>
        <w:spacing w:line="560" w:lineRule="exact"/>
        <w:rPr>
          <w:rFonts w:ascii="仿宋" w:hAnsi="仿宋" w:eastAsia="仿宋" w:cs="仿宋"/>
          <w:sz w:val="32"/>
          <w:szCs w:val="32"/>
          <w:highlight w:val="none"/>
        </w:rPr>
      </w:pPr>
      <w:r>
        <w:rPr>
          <w:rFonts w:hint="eastAsia" w:ascii="仿宋" w:hAnsi="仿宋" w:eastAsia="仿宋" w:cs="仿宋"/>
          <w:sz w:val="32"/>
          <w:szCs w:val="32"/>
          <w:highlight w:val="none"/>
        </w:rPr>
        <w:t>集中行驶城市管理综合执法的有关职责。</w:t>
      </w:r>
    </w:p>
    <w:p>
      <w:pPr>
        <w:rPr>
          <w:rFonts w:ascii="宋体" w:cs="宋体"/>
          <w:b/>
          <w:sz w:val="32"/>
          <w:szCs w:val="32"/>
          <w:highlight w:val="none"/>
        </w:rPr>
      </w:pPr>
    </w:p>
    <w:p>
      <w:pPr>
        <w:spacing w:line="600" w:lineRule="exact"/>
        <w:ind w:left="603" w:leftChars="287" w:firstLine="321" w:firstLineChars="1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二、机构设置</w:t>
      </w:r>
    </w:p>
    <w:p>
      <w:pPr>
        <w:spacing w:line="600" w:lineRule="exact"/>
        <w:ind w:left="603" w:leftChars="287" w:firstLine="181" w:firstLineChars="100"/>
        <w:rPr>
          <w:rFonts w:ascii="宋体" w:hAnsi="宋体" w:cs="宋体"/>
          <w:b/>
          <w:bCs/>
          <w:sz w:val="18"/>
          <w:szCs w:val="18"/>
          <w:highlight w:val="none"/>
        </w:rPr>
      </w:pPr>
    </w:p>
    <w:tbl>
      <w:tblPr>
        <w:tblStyle w:val="9"/>
        <w:tblW w:w="12690"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209"/>
        <w:gridCol w:w="2693"/>
        <w:gridCol w:w="2977"/>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32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26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297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32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3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保定白沟新城规划建设局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行政</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正科级</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白沟新城白沟镇综合行政执法办公室</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行政</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正科级</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财政拨款</w:t>
            </w:r>
          </w:p>
        </w:tc>
      </w:tr>
    </w:tbl>
    <w:p>
      <w:pPr>
        <w:jc w:val="center"/>
        <w:outlineLvl w:val="0"/>
        <w:rPr>
          <w:rFonts w:ascii="黑体" w:hAnsi="黑体" w:eastAsia="黑体"/>
          <w:b/>
          <w:sz w:val="32"/>
          <w:highlight w:val="none"/>
        </w:rPr>
      </w:pPr>
    </w:p>
    <w:p>
      <w:pPr>
        <w:spacing w:line="520" w:lineRule="exact"/>
        <w:rPr>
          <w:rFonts w:ascii="黑体" w:hAnsi="黑体" w:eastAsia="黑体"/>
          <w:b/>
          <w:sz w:val="32"/>
          <w:highlight w:val="none"/>
        </w:rPr>
      </w:pPr>
    </w:p>
    <w:p>
      <w:pPr>
        <w:spacing w:line="520" w:lineRule="exact"/>
        <w:rPr>
          <w:rFonts w:ascii="黑体" w:hAnsi="黑体" w:eastAsia="黑体"/>
          <w:b/>
          <w:sz w:val="32"/>
          <w:highlight w:val="none"/>
        </w:rPr>
      </w:pPr>
    </w:p>
    <w:p>
      <w:pPr>
        <w:spacing w:line="520" w:lineRule="exact"/>
        <w:ind w:left="640" w:firstLine="3855" w:firstLineChars="1200"/>
        <w:rPr>
          <w:rFonts w:hint="eastAsia" w:ascii="黑体" w:hAnsi="黑体" w:eastAsia="黑体" w:cs="黑体"/>
          <w:b/>
          <w:sz w:val="32"/>
          <w:highlight w:val="none"/>
        </w:rPr>
      </w:pPr>
      <w:r>
        <w:rPr>
          <w:rFonts w:hint="eastAsia" w:ascii="黑体" w:hAnsi="黑体" w:eastAsia="黑体" w:cs="黑体"/>
          <w:b/>
          <w:sz w:val="32"/>
          <w:highlight w:val="none"/>
        </w:rPr>
        <w:t>第二部分：</w:t>
      </w:r>
      <w:r>
        <w:rPr>
          <w:rFonts w:hint="eastAsia" w:ascii="黑体" w:hAnsi="黑体" w:eastAsia="黑体" w:cs="黑体"/>
          <w:sz w:val="32"/>
          <w:szCs w:val="32"/>
          <w:highlight w:val="none"/>
        </w:rPr>
        <w:t>部门预算安排的总体情况</w:t>
      </w:r>
    </w:p>
    <w:p>
      <w:pPr>
        <w:numPr>
          <w:ilvl w:val="0"/>
          <w:numId w:val="2"/>
        </w:numPr>
        <w:spacing w:line="520" w:lineRule="exact"/>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收入说明</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2021年年初部门收入预算总额35956.41万元。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其中：人员经费预算 888.66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日常公用经费预算 53.75万元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专项项目预算35014万元</w:t>
      </w:r>
    </w:p>
    <w:p>
      <w:pPr>
        <w:spacing w:line="520" w:lineRule="exact"/>
        <w:ind w:firstLine="643" w:firstLineChars="200"/>
        <w:rPr>
          <w:rFonts w:ascii="仿宋" w:hAnsi="仿宋" w:eastAsia="仿宋"/>
          <w:b/>
          <w:bCs/>
          <w:sz w:val="32"/>
          <w:szCs w:val="32"/>
          <w:highlight w:val="none"/>
        </w:rPr>
      </w:pPr>
      <w:r>
        <w:rPr>
          <w:rFonts w:ascii="黑体" w:hAnsi="黑体" w:eastAsia="黑体"/>
          <w:b/>
          <w:bCs/>
          <w:sz w:val="32"/>
          <w:szCs w:val="32"/>
          <w:highlight w:val="none"/>
        </w:rPr>
        <w:t>2</w:t>
      </w:r>
      <w:r>
        <w:rPr>
          <w:rFonts w:hint="eastAsia" w:ascii="黑体" w:hAnsi="黑体" w:eastAsia="黑体"/>
          <w:b/>
          <w:bCs/>
          <w:sz w:val="32"/>
          <w:szCs w:val="32"/>
          <w:highlight w:val="none"/>
        </w:rPr>
        <w:t>、支出说明</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2021年部门支出安排预算总额35956.41万元。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 942.41万元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rPr>
        <w:t>888.66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rPr>
        <w:t>53.75万元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项目支出35014万元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其中：本级支出35014万元</w:t>
      </w:r>
    </w:p>
    <w:p>
      <w:pPr>
        <w:tabs>
          <w:tab w:val="left" w:pos="916"/>
        </w:tabs>
        <w:spacing w:line="560" w:lineRule="exact"/>
        <w:ind w:firstLine="643" w:firstLineChars="200"/>
        <w:jc w:val="left"/>
        <w:rPr>
          <w:rFonts w:ascii="黑体" w:hAnsi="黑体" w:eastAsia="黑体"/>
          <w:b/>
          <w:bCs/>
          <w:sz w:val="32"/>
          <w:szCs w:val="32"/>
          <w:highlight w:val="none"/>
        </w:rPr>
      </w:pPr>
      <w:r>
        <w:rPr>
          <w:rFonts w:ascii="黑体" w:hAnsi="黑体" w:eastAsia="黑体"/>
          <w:b/>
          <w:bCs/>
          <w:sz w:val="32"/>
          <w:szCs w:val="32"/>
          <w:highlight w:val="none"/>
        </w:rPr>
        <w:t>3</w:t>
      </w:r>
      <w:r>
        <w:rPr>
          <w:rFonts w:hint="eastAsia" w:ascii="黑体" w:hAnsi="黑体" w:eastAsia="黑体"/>
          <w:b/>
          <w:bCs/>
          <w:sz w:val="32"/>
          <w:szCs w:val="32"/>
          <w:highlight w:val="none"/>
        </w:rPr>
        <w:t>、与上年增减情况</w:t>
      </w:r>
    </w:p>
    <w:p>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highlight w:val="none"/>
        </w:rPr>
        <w:t>　　本年度预算收支安排35956.41万元，较上年增加20494.4万元。</w:t>
      </w:r>
    </w:p>
    <w:p>
      <w:pPr>
        <w:autoSpaceDE w:val="0"/>
        <w:autoSpaceDN w:val="0"/>
        <w:adjustRightInd w:val="0"/>
        <w:spacing w:line="600" w:lineRule="exact"/>
        <w:ind w:firstLine="640"/>
        <w:jc w:val="center"/>
        <w:rPr>
          <w:rFonts w:ascii="黑体" w:hAnsi="黑体" w:eastAsia="黑体" w:cs="仿宋"/>
          <w:b/>
          <w:sz w:val="32"/>
          <w:szCs w:val="32"/>
          <w:highlight w:val="none"/>
        </w:rPr>
      </w:pPr>
    </w:p>
    <w:p>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pPr>
        <w:ind w:firstLine="600" w:firstLineChars="200"/>
        <w:rPr>
          <w:rFonts w:ascii="仿宋" w:hAnsi="仿宋" w:eastAsia="仿宋" w:cs="宋体"/>
          <w:sz w:val="30"/>
          <w:szCs w:val="30"/>
          <w:highlight w:val="none"/>
        </w:rPr>
      </w:pPr>
    </w:p>
    <w:p>
      <w:pPr>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我局机关运行经费安排资金53.75万元，其中办公费14.69万元，印刷费0.5万元，水费1.5万元，电费3.5万元，邮电费5.28万元，差旅费3万元，维修（护）费1.5万元，会议费0.77万元，培训费0.16万元，公会经费7.12万元，福利费7.54万元，公务用车运行维护费2.7万元，其他交通费用3.9万元，其他商品和服务支出1.59万元。</w:t>
      </w:r>
    </w:p>
    <w:p>
      <w:pPr>
        <w:ind w:firstLine="600" w:firstLineChars="200"/>
        <w:rPr>
          <w:rFonts w:ascii="仿宋" w:hAnsi="仿宋" w:eastAsia="仿宋" w:cs="宋体"/>
          <w:sz w:val="30"/>
          <w:szCs w:val="30"/>
          <w:highlight w:val="none"/>
        </w:rPr>
      </w:pPr>
    </w:p>
    <w:p>
      <w:pPr>
        <w:autoSpaceDE w:val="0"/>
        <w:autoSpaceDN w:val="0"/>
        <w:adjustRightInd w:val="0"/>
        <w:spacing w:line="600" w:lineRule="exact"/>
        <w:ind w:firstLine="2891" w:firstLineChars="900"/>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p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财政拨款“三公经费”预算数2.7万元。</w:t>
      </w:r>
    </w:p>
    <w:tbl>
      <w:tblPr>
        <w:tblStyle w:val="9"/>
        <w:tblW w:w="13608"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2"/>
        <w:gridCol w:w="2268"/>
        <w:gridCol w:w="2268"/>
        <w:gridCol w:w="2410"/>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5" w:hRule="atLeast"/>
        </w:trPr>
        <w:tc>
          <w:tcPr>
            <w:tcW w:w="13608"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402" w:type="dxa"/>
            <w:tcBorders>
              <w:top w:val="nil"/>
              <w:left w:val="nil"/>
              <w:bottom w:val="nil"/>
              <w:right w:val="nil"/>
            </w:tcBorders>
            <w:vAlign w:val="center"/>
          </w:tcPr>
          <w:p>
            <w:pPr>
              <w:widowControl/>
              <w:jc w:val="left"/>
              <w:rPr>
                <w:rFonts w:ascii="宋体" w:cs="宋体"/>
                <w:kern w:val="0"/>
                <w:sz w:val="24"/>
                <w:highlight w:val="none"/>
              </w:rPr>
            </w:pPr>
          </w:p>
        </w:tc>
        <w:tc>
          <w:tcPr>
            <w:tcW w:w="2268" w:type="dxa"/>
            <w:tcBorders>
              <w:top w:val="nil"/>
              <w:left w:val="nil"/>
              <w:bottom w:val="nil"/>
              <w:right w:val="nil"/>
            </w:tcBorders>
            <w:vAlign w:val="center"/>
          </w:tcPr>
          <w:p>
            <w:pPr>
              <w:widowControl/>
              <w:jc w:val="left"/>
              <w:rPr>
                <w:rFonts w:ascii="宋体" w:cs="宋体"/>
                <w:kern w:val="0"/>
                <w:sz w:val="24"/>
                <w:highlight w:val="none"/>
              </w:rPr>
            </w:pPr>
          </w:p>
        </w:tc>
        <w:tc>
          <w:tcPr>
            <w:tcW w:w="2268" w:type="dxa"/>
            <w:tcBorders>
              <w:top w:val="nil"/>
              <w:left w:val="nil"/>
              <w:bottom w:val="nil"/>
              <w:right w:val="nil"/>
            </w:tcBorders>
            <w:vAlign w:val="center"/>
          </w:tcPr>
          <w:p>
            <w:pPr>
              <w:widowControl/>
              <w:jc w:val="left"/>
              <w:rPr>
                <w:rFonts w:ascii="宋体" w:cs="宋体"/>
                <w:kern w:val="0"/>
                <w:sz w:val="24"/>
                <w:highlight w:val="none"/>
              </w:rPr>
            </w:pPr>
          </w:p>
        </w:tc>
        <w:tc>
          <w:tcPr>
            <w:tcW w:w="2410" w:type="dxa"/>
            <w:tcBorders>
              <w:top w:val="nil"/>
              <w:left w:val="nil"/>
              <w:bottom w:val="nil"/>
              <w:right w:val="nil"/>
            </w:tcBorders>
            <w:vAlign w:val="center"/>
          </w:tcPr>
          <w:p>
            <w:pPr>
              <w:widowControl/>
              <w:jc w:val="left"/>
              <w:rPr>
                <w:rFonts w:ascii="宋体" w:cs="宋体"/>
                <w:kern w:val="0"/>
                <w:sz w:val="24"/>
                <w:highlight w:val="none"/>
              </w:rPr>
            </w:pPr>
          </w:p>
        </w:tc>
        <w:tc>
          <w:tcPr>
            <w:tcW w:w="3260" w:type="dxa"/>
            <w:tcBorders>
              <w:top w:val="nil"/>
              <w:left w:val="nil"/>
              <w:bottom w:val="nil"/>
              <w:right w:val="nil"/>
            </w:tcBorders>
            <w:vAlign w:val="center"/>
          </w:tcPr>
          <w:p>
            <w:pPr>
              <w:widowControl/>
              <w:jc w:val="right"/>
              <w:rPr>
                <w:rFonts w:ascii="宋体" w:cs="宋体"/>
                <w:kern w:val="0"/>
                <w:sz w:val="24"/>
                <w:highlight w:val="none"/>
              </w:rPr>
            </w:pPr>
            <w:r>
              <w:rPr>
                <w:rFonts w:hint="eastAsia" w:ascii="宋体" w:hAnsi="宋体" w:cs="宋体"/>
                <w:kern w:val="0"/>
                <w:sz w:val="24"/>
                <w:highlight w:val="none"/>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2020年度预算</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2021年度预算</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 xml:space="preserve"> </w:t>
            </w: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3</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2.7</w:t>
            </w:r>
          </w:p>
        </w:tc>
        <w:tc>
          <w:tcPr>
            <w:tcW w:w="2410"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0.3</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hAnsi="宋体" w:cs="宋体"/>
                <w:kern w:val="0"/>
                <w:sz w:val="24"/>
                <w:highlight w:val="none"/>
              </w:rPr>
              <w:t>缩减经费开支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68"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41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cs="宋体"/>
                <w:kern w:val="0"/>
                <w:sz w:val="24"/>
                <w:highlight w:val="none"/>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340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合计</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3</w:t>
            </w:r>
          </w:p>
        </w:tc>
        <w:tc>
          <w:tcPr>
            <w:tcW w:w="2268"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2.7</w:t>
            </w:r>
          </w:p>
        </w:tc>
        <w:tc>
          <w:tcPr>
            <w:tcW w:w="2410"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0.3</w:t>
            </w:r>
          </w:p>
        </w:tc>
        <w:tc>
          <w:tcPr>
            <w:tcW w:w="3260" w:type="dxa"/>
            <w:tcBorders>
              <w:top w:val="nil"/>
              <w:left w:val="nil"/>
              <w:bottom w:val="single" w:color="auto" w:sz="4" w:space="0"/>
              <w:right w:val="single" w:color="auto" w:sz="4" w:space="0"/>
            </w:tcBorders>
            <w:vAlign w:val="center"/>
          </w:tcPr>
          <w:p>
            <w:pPr>
              <w:widowControl/>
              <w:jc w:val="left"/>
              <w:rPr>
                <w:rFonts w:ascii="宋体" w:cs="宋体"/>
                <w:kern w:val="0"/>
                <w:sz w:val="24"/>
                <w:highlight w:val="none"/>
              </w:rPr>
            </w:pPr>
            <w:r>
              <w:rPr>
                <w:rFonts w:hint="eastAsia" w:ascii="宋体" w:hAnsi="宋体" w:cs="宋体"/>
                <w:kern w:val="0"/>
                <w:sz w:val="24"/>
                <w:highlight w:val="none"/>
              </w:rPr>
              <w:t>缩减经费开支</w:t>
            </w:r>
          </w:p>
        </w:tc>
      </w:tr>
    </w:tbl>
    <w:p>
      <w:pPr>
        <w:jc w:val="center"/>
        <w:outlineLvl w:val="0"/>
        <w:rPr>
          <w:rFonts w:ascii="宋体"/>
          <w:b/>
          <w:bCs w:val="0"/>
          <w:highlight w:val="none"/>
        </w:rPr>
      </w:pPr>
      <w:r>
        <w:rPr>
          <w:rFonts w:hint="eastAsia" w:ascii="黑体" w:hAnsi="黑体" w:eastAsia="黑体"/>
          <w:b/>
          <w:bCs w:val="0"/>
          <w:sz w:val="32"/>
          <w:highlight w:val="none"/>
        </w:rPr>
        <w:t>第五部分：绩效预算信息</w:t>
      </w:r>
    </w:p>
    <w:p>
      <w:pPr>
        <w:numPr>
          <w:ilvl w:val="0"/>
          <w:numId w:val="3"/>
        </w:numPr>
        <w:ind w:firstLine="643" w:firstLineChars="200"/>
        <w:jc w:val="left"/>
        <w:outlineLvl w:val="1"/>
        <w:rPr>
          <w:rFonts w:ascii="黑体" w:hAnsi="黑体" w:eastAsia="黑体"/>
          <w:b/>
          <w:bCs/>
          <w:sz w:val="32"/>
          <w:szCs w:val="32"/>
          <w:highlight w:val="none"/>
        </w:rPr>
      </w:pPr>
      <w:r>
        <w:rPr>
          <w:rFonts w:hint="eastAsia" w:ascii="黑体" w:hAnsi="黑体" w:eastAsia="黑体"/>
          <w:b/>
          <w:bCs/>
          <w:sz w:val="32"/>
          <w:szCs w:val="32"/>
          <w:highlight w:val="none"/>
        </w:rPr>
        <w:t>部门整体绩效目标</w:t>
      </w:r>
    </w:p>
    <w:p>
      <w:pPr>
        <w:ind w:firstLine="643" w:firstLineChars="2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（一）总体绩效目标</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1、加强村镇建设，改善农村人居环境，实现城乡统筹发展。</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2、城镇古树名木和风景名胜、历史文化名城和街区得到有效保护。</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3、提高既有居住建筑的保温性能。评选备案项目，完善省级能耗监测平台，建立市级中转平台，实现能耗数据采集、传输、统计等功能。经改造的公共建筑达到节能标准。积累新技术新体系应用经验</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4、加强城区管理，改善居住环境，实现城乡统筹发展。</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5、通过督导检查全县安全生产，最大限度地发现、纠正、督促企业消除各类隐患，预防和减少事故的发生，确保全县安全生产形势持续稳定好转。</w:t>
      </w:r>
    </w:p>
    <w:p>
      <w:pPr>
        <w:spacing w:line="500" w:lineRule="exact"/>
        <w:ind w:left="640"/>
        <w:jc w:val="left"/>
        <w:rPr>
          <w:rFonts w:ascii="仿宋" w:hAnsi="仿宋" w:eastAsia="仿宋" w:cs="仿宋"/>
          <w:sz w:val="32"/>
          <w:szCs w:val="32"/>
          <w:highlight w:val="none"/>
        </w:rPr>
      </w:pPr>
      <w:r>
        <w:rPr>
          <w:rFonts w:hint="eastAsia" w:ascii="仿宋" w:hAnsi="仿宋" w:eastAsia="仿宋" w:cs="仿宋"/>
          <w:sz w:val="32"/>
          <w:szCs w:val="32"/>
          <w:highlight w:val="none"/>
        </w:rPr>
        <w:t>6、加快数字化城管平台建设，实现城市管理信息化。</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7、完成本级规划编制，健全规划体系。</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8、理顺应急救援工作机制，推动应急救援指挥中心和应急平台建设，提高突发事件的应急救援能力，保证政府及时采取应对措施，避免或降低事故及其危害程度。</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9、通过督导检查全市安全生产，最大限度地发现、纠正、督促企业消除各类隐患，预防和减少事故的发生，确保全市安全生产形势持续稳定好转。</w:t>
      </w:r>
    </w:p>
    <w:p>
      <w:pPr>
        <w:pStyle w:val="15"/>
        <w:numPr>
          <w:ilvl w:val="0"/>
          <w:numId w:val="4"/>
        </w:numPr>
        <w:spacing w:line="500" w:lineRule="exact"/>
        <w:ind w:firstLineChars="0"/>
        <w:jc w:val="left"/>
        <w:rPr>
          <w:rFonts w:ascii="仿宋" w:hAnsi="仿宋" w:eastAsia="仿宋" w:cs="仿宋"/>
          <w:sz w:val="32"/>
          <w:szCs w:val="32"/>
          <w:highlight w:val="none"/>
        </w:rPr>
      </w:pPr>
      <w:r>
        <w:rPr>
          <w:rFonts w:hint="eastAsia" w:ascii="仿宋" w:hAnsi="仿宋" w:eastAsia="仿宋" w:cs="仿宋"/>
          <w:sz w:val="32"/>
          <w:szCs w:val="32"/>
          <w:highlight w:val="none"/>
        </w:rPr>
        <w:t>保障全区环境卫生工作正常高效运转。</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11、完成上级确定的城镇保障性安居工程年度建设任务，建立健全公平、公正、公开的分配机制和优质、高效管理服务机制，保障性住房及时分配到位。及时出台政策；妥善处理房改遗留问题，避免产生。</w:t>
      </w:r>
    </w:p>
    <w:p>
      <w:pPr>
        <w:ind w:firstLine="321" w:firstLineChars="1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（二）分项绩效目标</w:t>
      </w:r>
    </w:p>
    <w:p>
      <w:pPr>
        <w:ind w:firstLine="640" w:firstLineChars="200"/>
        <w:jc w:val="left"/>
        <w:outlineLvl w:val="1"/>
        <w:rPr>
          <w:rFonts w:ascii="楷体" w:hAnsi="楷体" w:eastAsia="楷体"/>
          <w:sz w:val="32"/>
          <w:szCs w:val="32"/>
          <w:highlight w:val="none"/>
        </w:rPr>
      </w:pPr>
      <w:r>
        <w:rPr>
          <w:rFonts w:hint="eastAsia" w:ascii="仿宋" w:hAnsi="仿宋" w:eastAsia="仿宋" w:cs="仿宋"/>
          <w:sz w:val="32"/>
          <w:szCs w:val="32"/>
          <w:highlight w:val="none"/>
        </w:rPr>
        <w:t>1、建立城镇住房保障体系，稳妥推进住房体制改革，按照国家要求达到城镇住房保障工作目标。</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2、加强城乡规划管理、协调城乡空间布局，改善人居环境， 促进城乡经济社会全面协调可持续发展。</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3、加强管理，提高城市承载能力和宜居度。加强村镇建设，改善农村人居环境，实现城乡统筹发展。协调和指导推进城镇化工作吗，加强城镇化进程。</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4、提高建设科技对住房城乡建设发展的贡献率，充分发挥建筑节能在城镇节能减排中的作用。</w:t>
      </w:r>
    </w:p>
    <w:p>
      <w:pPr>
        <w:ind w:firstLine="321" w:firstLineChars="100"/>
        <w:jc w:val="left"/>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（三）工作保障措施</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1、指导和协调全市政务公开及政务服务中心建设、推进行政服务体系标准化建设工作；推进、指导、协调、监督市政府信息公开工作。</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2、城区绿地、公园、树木的保护；占用城区园林、绿地和树木伐移的审批，参与对城区重点建设项目的园林绿化设计和绿地率的审核认定；对城区园林绿化工程的建设进行管理监督；指导城区全民绿化。</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3、拟定全区城乡规划管理政策，制定城乡规划技术管理标准和导则；组织全区体系层面规划编制，依法编制总体规划、专项规划、控制性详细规划、历史文化名城和街区保护等专项规划。审查、督导依法编制城乡规划；加强和改进规划管理技术手段，对依法批准的城乡规划进行监督实施。</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4、指导城市燃气、热力、垃圾处理等设施建设，指导市政公用设施安全和应急管理；推进供热计量改革，开展燃气行业安全监督检查。</w:t>
      </w:r>
    </w:p>
    <w:p>
      <w:pPr>
        <w:spacing w:line="5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5、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pPr>
        <w:spacing w:line="500" w:lineRule="exact"/>
        <w:ind w:firstLine="640" w:firstLineChars="200"/>
        <w:jc w:val="left"/>
        <w:rPr>
          <w:rFonts w:ascii="方正小标宋_GBK" w:eastAsia="方正小标宋_GBK"/>
          <w:sz w:val="32"/>
          <w:szCs w:val="32"/>
          <w:highlight w:val="none"/>
        </w:rPr>
      </w:pPr>
      <w:r>
        <w:rPr>
          <w:rFonts w:hint="eastAsia" w:ascii="仿宋" w:hAnsi="仿宋" w:eastAsia="仿宋" w:cs="仿宋"/>
          <w:sz w:val="32"/>
          <w:szCs w:val="32"/>
          <w:highlight w:val="none"/>
        </w:rPr>
        <w:t>6、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pPr>
        <w:rPr>
          <w:rFonts w:ascii="黑体" w:hAnsi="黑体" w:eastAsia="黑体"/>
          <w:b/>
          <w:sz w:val="32"/>
          <w:szCs w:val="32"/>
          <w:highlight w:val="none"/>
        </w:rPr>
      </w:pPr>
      <w:r>
        <w:rPr>
          <w:rFonts w:hint="eastAsia" w:ascii="楷体" w:hAnsi="楷体" w:eastAsia="楷体" w:cs="楷体"/>
          <w:color w:val="000000"/>
          <w:sz w:val="32"/>
          <w:szCs w:val="32"/>
          <w:highlight w:val="none"/>
        </w:rPr>
        <w:t xml:space="preserve"> </w:t>
      </w:r>
      <w:r>
        <w:rPr>
          <w:rFonts w:hint="eastAsia" w:ascii="黑体" w:hAnsi="黑体" w:eastAsia="黑体"/>
          <w:b/>
          <w:sz w:val="32"/>
          <w:szCs w:val="32"/>
          <w:highlight w:val="none"/>
        </w:rPr>
        <w:t xml:space="preserve">  </w:t>
      </w:r>
    </w:p>
    <w:p>
      <w:pPr>
        <w:rPr>
          <w:rFonts w:ascii="黑体" w:hAnsi="黑体" w:eastAsia="黑体"/>
          <w:b/>
          <w:sz w:val="32"/>
          <w:szCs w:val="32"/>
          <w:highlight w:val="none"/>
        </w:rPr>
      </w:pPr>
    </w:p>
    <w:p>
      <w:pPr>
        <w:rPr>
          <w:rFonts w:ascii="黑体" w:hAnsi="黑体" w:eastAsia="黑体"/>
          <w:b/>
          <w:sz w:val="32"/>
          <w:szCs w:val="32"/>
          <w:highlight w:val="none"/>
        </w:rPr>
      </w:pPr>
    </w:p>
    <w:p>
      <w:pPr>
        <w:rPr>
          <w:rFonts w:ascii="方正小标宋_GBK" w:eastAsia="宋体"/>
          <w:sz w:val="32"/>
          <w:szCs w:val="32"/>
          <w:highlight w:val="none"/>
        </w:rPr>
      </w:pPr>
      <w:r>
        <w:rPr>
          <w:rFonts w:hint="eastAsia" w:ascii="黑体" w:hAnsi="黑体" w:eastAsia="黑体"/>
          <w:b/>
          <w:sz w:val="32"/>
          <w:szCs w:val="32"/>
          <w:highlight w:val="none"/>
        </w:rPr>
        <w:t xml:space="preserve"> </w:t>
      </w:r>
      <w:r>
        <w:rPr>
          <w:rFonts w:hint="eastAsia" w:ascii="黑体" w:hAnsi="黑体" w:eastAsia="黑体" w:cs="黑体"/>
          <w:sz w:val="32"/>
          <w:szCs w:val="32"/>
          <w:highlight w:val="none"/>
        </w:rPr>
        <w:t>二、预算项目绩效目标</w:t>
      </w:r>
    </w:p>
    <w:p>
      <w:pPr>
        <w:ind w:firstLine="562" w:firstLineChars="200"/>
        <w:jc w:val="left"/>
        <w:rPr>
          <w:rFonts w:ascii="Times New Roman" w:hAnsi="宋体"/>
          <w:b/>
          <w:sz w:val="28"/>
          <w:highlight w:val="none"/>
        </w:rPr>
      </w:pPr>
      <w:r>
        <w:rPr>
          <w:rFonts w:hint="eastAsia" w:ascii="方正仿宋_GBK" w:eastAsia="方正仿宋_GBK"/>
          <w:b/>
          <w:sz w:val="28"/>
          <w:highlight w:val="none"/>
        </w:rPr>
        <w:t>1、规划建设局保障性住房计提资金绩效目标表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规划建设局保障性住房计提资金</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规划建设局保障性住房计提资金</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规划建设局保障性住房计提资金</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质量合格情况</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项目实施进度</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成本控制</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保障管理服务资金的需要，维持单位正常运转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可持续发挥的作用</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规划建设局保障性住房计提资金</w:t>
            </w:r>
          </w:p>
        </w:tc>
      </w:tr>
    </w:tbl>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2、规划建设（基础设施建设资金）绩效目标表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为了规划建设（基础设施建设资金）正常开展，确保白沟博物馆、规划展览馆、排水专项规划编制、城区雨污分流改造一期监理费、残疾人就业保障金、城区路段混凝土道路破损维修、二污处理厂工程的顺利施工。</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为了规划建设（基础设施建设资金）正常开展，确保白沟博物馆、规划展览馆、排水专项规划编制、城区雨污分流改造一期监理费、残疾人就业保障金、城区路段混凝土道路破损维修、二污处理厂工程的顺利施工。</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为了规划建设（基础设施建设资金）正常开展，确保白沟博物馆、规划展览馆、排水专项规划编制、城区雨污分流改造一期监理费、残疾人就业保障金、城区路段混凝土道路破损维修、二污处理厂工程的顺利施工。</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按要求和计划完成项目在所有项目中的比例</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质量合格情况</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项目建设按期完成率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项目建设按期完成率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项目总成本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项目预算控制额</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经济效益增值率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经济效益增值率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持续发挥作用期限</w:t>
            </w:r>
          </w:p>
          <w:p>
            <w:pPr>
              <w:spacing w:line="300" w:lineRule="exact"/>
              <w:jc w:val="left"/>
              <w:rPr>
                <w:rFonts w:ascii="方正书宋_GBK" w:eastAsia="方正书宋_GBK"/>
                <w:highlight w:val="none"/>
              </w:rPr>
            </w:pP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设备设施持续发挥作用期限</w:t>
            </w:r>
            <w:r>
              <w:rPr>
                <w:rFonts w:ascii="方正书宋_GBK" w:eastAsia="方正书宋_GBK"/>
                <w:highlight w:val="none"/>
              </w:rPr>
              <w:tab/>
            </w:r>
          </w:p>
          <w:p>
            <w:pPr>
              <w:spacing w:line="300" w:lineRule="exact"/>
              <w:jc w:val="left"/>
              <w:rPr>
                <w:rFonts w:ascii="方正书宋_GBK" w:eastAsia="方正书宋_GBK"/>
                <w:highlight w:val="none"/>
              </w:rPr>
            </w:pP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完成可持续影响指标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r>
              <w:rPr>
                <w:rFonts w:ascii="方正书宋_GBK" w:eastAsia="方正书宋_GBK"/>
                <w:highlight w:val="none"/>
              </w:rPr>
              <w:t>%</w:t>
            </w:r>
            <w:r>
              <w:rPr>
                <w:rFonts w:hint="eastAsia" w:ascii="方正书宋_GBK" w:eastAsia="方正书宋_GBK"/>
                <w:highlight w:val="none"/>
              </w:rPr>
              <w:t>）</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完成服务对象满意度指标</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3、规划建设局雨污分流建设资金（国债）绩效目标表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加强城区建设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改善人居环境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完成时间</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项目预算控制数</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社会影响力</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促进生态文明建设，推动绿色发展和绿色生活方式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项目持续发挥作用</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接受基本公共卫生服务的重点人群对基层医疗卫生机构所提供服务的满意程度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接受基本公共卫生服务的重点人群对基层医疗卫生机构所提供服务的满意程度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接受基本公共卫生服务的重点人群对基层医疗卫生机构所提供服务的满意程度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ind w:firstLine="562" w:firstLineChars="200"/>
        <w:jc w:val="left"/>
        <w:rPr>
          <w:rFonts w:ascii="方正仿宋_GBK" w:eastAsia="方正仿宋_GBK"/>
          <w:b/>
          <w:sz w:val="28"/>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4、规划建设事务资金绩效目标表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为了规划建设事务工资正常开展，确保招聘人员、劳务派遣人员及军转人员劳务费及社会保险费正常发放及缴纳。</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为了规划建设事务工资正常开展，确保招聘人员、劳务派遣人员及军转人员劳务费及社会保险费正常发放及缴纳。</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为了规划建设事务工资正常开展，确保招聘人员、劳务派遣人员及军转人员劳务费及社会保险费正常发放及缴纳。</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办公人数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保障办公人数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保障工作质量</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完成工作的及时性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完成工作的及时性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成本控制率</w:t>
            </w:r>
            <w:r>
              <w:rPr>
                <w:rFonts w:ascii="方正书宋_GBK" w:eastAsia="方正书宋_GBK"/>
                <w:highlight w:val="none"/>
              </w:rPr>
              <w:t>(%)</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购买服务人员费用实际支出资金</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保障管理服务资金的需要，维持单位正常运转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保证人才队伍可持续建设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评出符合条件的优秀人才</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完成可持续影响指标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综合服务受益对象满意度</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完成服务对象满意度指标</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5、规划建设房产交易管理资金绩效目标表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为了规划建设房产交易管理工作开展，确保规划建设房产交易管理工作运转费用正常使用。</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为了规划建设房产交易管理工作开展，确保规划建设房产交易管理工作运转费用正常使用。</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为了规划建设房产交易管理工作开展，确保规划建设房产交易管理工作运转费用正常使用。</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保障人数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保障办公人数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完成数量指标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质量合格情况</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保障人员工资、奖金及保险等</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是否保障人员工资、奖金及保险等</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项目成本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保障日常办公需要，维持单位正常运转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保障此项工作正常运转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保障此项工作正常运转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完成可持续影响指标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r>
              <w:rPr>
                <w:rFonts w:hint="eastAsia" w:ascii="方正书宋_GBK" w:eastAsia="方正书宋_GBK"/>
                <w:highlight w:val="none"/>
              </w:rPr>
              <w:t>指标值百分之百</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完成服务对象满意度指标</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6、综合执法雨污分流资金（国债）绩效目标表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加强城区建设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改造人居环境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完成时间</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项目预算控制数</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提高生活水平</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社会影响力</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促进生态文明建设，推动绿色发展和绿色生活方式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项目持续发挥作用期限</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群众对当年农村公益电影放映的整体满意度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群众对当年农村公益电影放映的整体满意度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群众满意数量占总数的比例。</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7、迎宾大道墙体涂装及户外广告翻新绩效目标表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城区市容市貌综合整治</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加快数字化城管平台建设，实现城市管理信息化</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整治完成率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整治完成率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190</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保障工作顺利完成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改善城区生活环境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改善城区生活环境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业务办理率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业务办理情况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主管部门、群众满意度</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8、园林绿化带 行道养护用水资金绩效目标表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保障城区绿化工作顺利开展</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加快城乡建设</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养护成本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通过采三方询价的方式来节约成本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78%</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群众满意数量占总数量的比例</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9、农村市场化资金绩效目标表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农村市场化保洁</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美化环境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验收通过率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98%</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556.42</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生态环境持续改善</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10、综合执法劳务派遣资金绩效目标表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保障劳务派遣人员工资保险按时发放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保工作正常运行</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提升综合管理水平</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总人数</w:t>
            </w:r>
            <w:r>
              <w:rPr>
                <w:rFonts w:ascii="方正书宋_GBK" w:eastAsia="方正书宋_GBK"/>
                <w:highlight w:val="none"/>
              </w:rPr>
              <w:t>96</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按月发放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年度总费用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年度总费用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人员稳定开展工作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工作正常开展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保障工业行业管理工作开展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消防救援人员满意度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11、综合执法办公室临时人员工资及保险(21人)绩效目标表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按时发放人员工资</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按时缴纳保险</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保工作正常运行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发放工资人数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发放工资人数</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39</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按时按标准发放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按时缴纳保险</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122.42</w:t>
            </w:r>
            <w:r>
              <w:rPr>
                <w:rFonts w:hint="eastAsia" w:ascii="方正书宋_GBK" w:eastAsia="方正书宋_GBK"/>
                <w:highlight w:val="none"/>
              </w:rPr>
              <w:t>万元</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保障正常办公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保障正常办公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业务保障能力提升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对职工福利满意度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12、城区夜景亮化2绩效目标表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夜景亮化</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亮化建设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亮化建设</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13、污水处理运营费绩效目标表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保城区环境卫生干净</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保护水环境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水质量达标率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水质量达标率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总成本</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3500</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保障群众生活安全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保障群众生活安全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单位人员对日常保障工作的满意程度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14、一区三边拆后修复资金绩效目标表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完成本级规划编制，健全规划体系</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改变城区整体形象</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修复数量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修复数量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完工及时性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完工及时性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25</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改善城区生态环境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改善城区生态环境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保障工作持续开展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保障工作持续开展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15、城市建设亮化2绩效目标表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城区亮化建设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按装数量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按装数量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工程质量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16、市政维修道路便道排水管网地下水管维修及防汛物资劳保工具日常资金绩效目标表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保日常工作运转</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加快城镇化建设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实现城乡统筹发展</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维修道路数量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占城区道路的百分比</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&gt;60%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维修质量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占城区道路的百分比</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&gt;60%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占城区道路的百分比</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&gt;60%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单位人员对日常保障工作的满意程度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17、提前下达2021年自然灾害救助专项资金绩效目标表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自然灾害救助资金</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提高防灾减灾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确保工作顺利进行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经济发展影响力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社会效果程度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社会效果程度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灾害风险防控水平</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灾害风险防控水平</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政策性文件</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18、垃圾外运资金2绩效目标表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提升环境卫生</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主管部门满意度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主管部门满意度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19、庆祝建常100周年资金绩效目标表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城区市容市貌综合整治</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加强城区管理，改善居住环境，实现城乡统筹发展。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是否按时完成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宣传活动影响力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宣传活动形成的创卫氛围所产生的影响</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2"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改善城区生活环境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改善园区生态环境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2"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干部工作积极稳定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9"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20、城市建设道路改造绩效目标表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加强村镇建设，改善农村人居环境，实现城乡统筹发展</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改善居住环境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保工作正常运转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改造道路数量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改造道路数量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30%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施工质量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施工质量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按标准备发放</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预算执行率（</w:t>
            </w:r>
            <w:r>
              <w:rPr>
                <w:rFonts w:ascii="方正书宋_GBK" w:eastAsia="方正书宋_GBK"/>
                <w:highlight w:val="none"/>
              </w:rPr>
              <w:t>%</w:t>
            </w:r>
            <w:r>
              <w:rPr>
                <w:rFonts w:hint="eastAsia" w:ascii="方正书宋_GBK" w:eastAsia="方正书宋_GBK"/>
                <w:highlight w:val="none"/>
              </w:rPr>
              <w:t>）</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预算执行率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不涉及</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21、综合执法2020年延长供热补贴绩效目标表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保稳定</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保生活正常运行</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供热质量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供热质量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供暖及时性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供暖及时性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环保节能</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节能环保</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保运转</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22、公用事业科路灯杆清洗 调直资金绩效目标表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保运行</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美化环境</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加快城乡建设</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清洗次数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清洗次数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清洗质量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50%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创新工作完成率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创新工作完成率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协同合作影响</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单位人员对日常工作运转的满意程度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23、2020年餐厅经费 城管形象整改  环境专项规划  退休职业年利息绩效目标表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保日常工作运转</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保稳定</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提升工作效率</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经费保障人数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经费保障人数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业务功能满足率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反应综合事务完成情况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社会稳定水平</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通过实施发放工资促进社会稳定水平逐步提高</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24、应急办劳务派遣资金绩效目标表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保障劳务派遣人员工资按时发放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保障工作正常运行</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提升工作效率</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7</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按时发放工资缴纳保险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按时发放工资缴纳保险</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按标准备发放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人员稳定开展工作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对职工福利满意度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25、办公室水电 餐厅经费  执法车租赁 加油维修及房屋修缮资金绩效目标表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综事事务管理</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日常工作运转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执法车数量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执法车数量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16</w:t>
            </w:r>
            <w:r>
              <w:rPr>
                <w:rFonts w:hint="eastAsia" w:ascii="方正书宋_GBK" w:eastAsia="方正书宋_GBK"/>
                <w:highlight w:val="none"/>
              </w:rPr>
              <w:t>辆</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　</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降低区域污染物排放，有利于改善环境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提升人员素质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主管单位满意</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26、城区品质生活绿化建设绩效目标表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加快城镇化建设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打造省级园林城市</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质量要求</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质量要求</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按合同执行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按合同执行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保运行</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请示</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27、农房险资金绩效目标表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保障农村居住环境</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保工作正常运转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综合事务管理</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危房数量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危房数量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反应综合事务完成情况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9.9</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保障人民财产安全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保障人民财产安全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保障工作顺利完成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改善居住环境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改善居住环境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安生保障办</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28、安全生产宣传  应急演练及自然灾害防治资金绩效目标表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加强应急救援体系建设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加强应急救援队伍、装备和信息系统建设，完善安全生产应急平台，提高全县应急救援协调指挥能力和应急处置能力</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日常工作所需</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安全生产宣传次数</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安全生产宣传次数</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反映机关事务管理各项综合事务完成情况看</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提高业务服务能力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为我局提供各类有效数据</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保障日常办公需要、维持单位正常运转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改善自然灾害风险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改善自然灾害风险</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保障办公正常运转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干部工作积极，稳定，保障办公正常运转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主管部门、群众满意度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主管部门、群众满意度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文件</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方正仿宋_GBK" w:eastAsia="方正仿宋_GBK"/>
          <w:b/>
          <w:sz w:val="28"/>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29、游园建设资金2绩效目标表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改造城区生活环境</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保工作运转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加快城乡建设</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园林绿化</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任务完成的及时性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任务完成的及时性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综合利用率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基础设施建成后的利用、使用情况</w:t>
            </w:r>
            <w:r>
              <w:rPr>
                <w:rFonts w:ascii="方正书宋_GBK" w:eastAsia="方正书宋_GBK"/>
                <w:highlight w:val="none"/>
              </w:rPr>
              <w:t xml:space="preserve"> </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对大气、水环境质量的改善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86%</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群众满意数量占总数的比例。</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30、芙蓉公园网络费 电费 冬季取暖及用电资金绩效目标表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保工作正常运行</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加快城镇化建设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节约成本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通过采三方询价的方式来节约成本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创新能力持续提升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单位人员对正常工作运转的满意程度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31、智慧用电资金绩效目标表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加强应急救援体系建设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提高安全意识</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配套设施完成率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实际完成配套设施占计划完成配套设施量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综合服务安全保障率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经费保障的及时性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办公日常的及时性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以实际支出为准</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维护完成率　</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项目前期工程完成情况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项目前期工程完成情况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改善生态环境质量，降低环境风险</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保障工作持续开展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保障工作的持续开展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32、环卫工资及意外保险资金绩效目标表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保障环卫工人工资按时发放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保障工人福利待遇</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300</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按标准发放工资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按标准发放工资</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按月发放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按月发放</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总费用</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702</w:t>
            </w:r>
            <w:r>
              <w:rPr>
                <w:rFonts w:hint="eastAsia" w:ascii="方正书宋_GBK" w:eastAsia="方正书宋_GBK"/>
                <w:highlight w:val="none"/>
              </w:rPr>
              <w:t>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改善环境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环保工作正常运转情况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是否保障环保工作正常运转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保稳定</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对职工福利满意度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资金说明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33、环卫综合资金绩效目标表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环境卫生治理</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加快城市建设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清扫质量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保障社会发展</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保障社会发展</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34、城市广场芙蓉公园滨河公园安保资金绩效目标表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保工作正常运行</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保业务正常</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保稳定</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保安人员数量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聘请保安人员的数量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7</w:t>
            </w:r>
            <w:r>
              <w:rPr>
                <w:rFonts w:hint="eastAsia" w:ascii="方正书宋_GBK" w:eastAsia="方正书宋_GBK"/>
                <w:highlight w:val="none"/>
              </w:rPr>
              <w:t>人</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人员素质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人员素质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及时发放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及时发放</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职工工资发放</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对本单位职工及时发放工资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提高工作效率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人员稳定开展工作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综合业务能力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综合业务能力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群众满意的程度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合同</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35、城市智慧建设资金绩效目标表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智慧城市建设</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加快城乡发展</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建设数量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质量完成</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36、城管综合资金（小广告清理，购置，形象综合治理）绩效目标表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城区形象综合治理</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加快城市建设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保运行</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完成工作率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完成率</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工作按时完成率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工作按时完成率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按照预算指标完成</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按照预算指标完成</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&gt;90%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完成情况</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主管部门满意度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主管部门满意度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37、污水处理厂综合改造项目绩效目标表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污水处理综合项目资金</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加快城乡建设</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保运转</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污水治理数量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污水治理数量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完成质量</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及时性</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按实际支出</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对经济发展带来效果</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维持单位正常运转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维持单位正常运转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生态环境改善</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可持续影响力</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群众满意度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spacing w:line="300" w:lineRule="exact"/>
        <w:jc w:val="left"/>
        <w:rPr>
          <w:highlight w:val="none"/>
        </w:rPr>
      </w:pPr>
    </w:p>
    <w:p>
      <w:pPr>
        <w:ind w:firstLine="562" w:firstLineChars="200"/>
        <w:jc w:val="left"/>
        <w:rPr>
          <w:rFonts w:ascii="Times New Roman" w:hAnsi="宋体"/>
          <w:b/>
          <w:sz w:val="28"/>
          <w:highlight w:val="none"/>
        </w:rPr>
      </w:pPr>
      <w:r>
        <w:rPr>
          <w:rFonts w:hint="eastAsia" w:ascii="方正仿宋_GBK" w:eastAsia="方正仿宋_GBK"/>
          <w:b/>
          <w:sz w:val="28"/>
          <w:highlight w:val="none"/>
        </w:rPr>
        <w:t>38、环卫车辆加油维修及保险资金绩效目标表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highlight w:val="none"/>
              </w:rPr>
            </w:pPr>
            <w:r>
              <w:rPr>
                <w:rFonts w:ascii="方正书宋_GBK" w:eastAsia="方正书宋_GBK"/>
                <w:highlight w:val="none"/>
              </w:rPr>
              <w:t>1.</w:t>
            </w:r>
            <w:r>
              <w:rPr>
                <w:rFonts w:hint="eastAsia" w:ascii="方正书宋_GBK" w:eastAsia="方正书宋_GBK"/>
                <w:highlight w:val="none"/>
              </w:rPr>
              <w:t>保障城区环境卫生</w:t>
            </w:r>
          </w:p>
          <w:p>
            <w:pPr>
              <w:spacing w:line="300" w:lineRule="exact"/>
              <w:jc w:val="left"/>
              <w:rPr>
                <w:rFonts w:ascii="方正书宋_GBK" w:eastAsia="方正书宋_GBK"/>
                <w:highlight w:val="none"/>
              </w:rPr>
            </w:pPr>
            <w:r>
              <w:rPr>
                <w:rFonts w:ascii="方正书宋_GBK" w:eastAsia="方正书宋_GBK"/>
                <w:highlight w:val="none"/>
              </w:rPr>
              <w:t>2.</w:t>
            </w:r>
            <w:r>
              <w:rPr>
                <w:rFonts w:hint="eastAsia" w:ascii="方正书宋_GBK" w:eastAsia="方正书宋_GBK"/>
                <w:highlight w:val="none"/>
              </w:rPr>
              <w:t>保障车辆正常运转</w:t>
            </w:r>
          </w:p>
          <w:p>
            <w:pPr>
              <w:spacing w:line="300" w:lineRule="exact"/>
              <w:jc w:val="left"/>
              <w:rPr>
                <w:rFonts w:ascii="方正书宋_GBK" w:eastAsia="方正书宋_GBK"/>
                <w:highlight w:val="none"/>
              </w:rPr>
            </w:pPr>
            <w:r>
              <w:rPr>
                <w:rFonts w:ascii="方正书宋_GBK" w:eastAsia="方正书宋_GBK"/>
                <w:highlight w:val="none"/>
              </w:rPr>
              <w:t>3.</w:t>
            </w:r>
            <w:r>
              <w:rPr>
                <w:rFonts w:hint="eastAsia" w:ascii="方正书宋_GBK" w:eastAsia="方正书宋_GBK"/>
                <w:highlight w:val="none"/>
              </w:rPr>
              <w:t>保机关工作有序</w:t>
            </w:r>
          </w:p>
        </w:tc>
      </w:tr>
    </w:tbl>
    <w:p>
      <w:pPr>
        <w:spacing w:line="14" w:lineRule="exact"/>
        <w:jc w:val="center"/>
        <w:rPr>
          <w:rFonts w:ascii="Times New Roman" w:hAnsi="宋体"/>
          <w:sz w:val="18"/>
          <w:highlight w:val="none"/>
        </w:rPr>
      </w:pPr>
      <w:r>
        <w:rPr>
          <w:rFonts w:ascii="方正书宋_GBK" w:eastAsia="方正书宋_GBK"/>
          <w:sz w:val="18"/>
          <w:highlight w:val="none"/>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一级指标</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二级指标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三级指标</w:t>
            </w:r>
          </w:p>
        </w:tc>
        <w:tc>
          <w:tcPr>
            <w:tcW w:w="28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绩效指标描述</w:t>
            </w:r>
          </w:p>
        </w:tc>
        <w:tc>
          <w:tcPr>
            <w:tcW w:w="2551"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w:t>
            </w:r>
          </w:p>
        </w:tc>
        <w:tc>
          <w:tcPr>
            <w:tcW w:w="2268"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产出指标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数量指标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车辆数量</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车辆数量</w:t>
            </w:r>
          </w:p>
        </w:tc>
        <w:tc>
          <w:tcPr>
            <w:tcW w:w="2551" w:type="dxa"/>
            <w:vAlign w:val="center"/>
          </w:tcPr>
          <w:p>
            <w:pPr>
              <w:spacing w:line="300" w:lineRule="exact"/>
              <w:jc w:val="left"/>
              <w:rPr>
                <w:rFonts w:ascii="方正书宋_GBK" w:eastAsia="方正书宋_GBK"/>
                <w:highlight w:val="none"/>
              </w:rPr>
            </w:pP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质量指标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垃圾清扫率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垃圾清扫率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时效指标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工作完成率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95%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成本指标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车辆运行费用</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车辆运行费用</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100%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效益指标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经济效益指标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保工作运转</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提高效率</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80%</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生态效益指标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美化环境</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highlight w:val="none"/>
              </w:rPr>
            </w:pP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可持续影响指标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业务保障能力提升</w:t>
            </w:r>
          </w:p>
        </w:tc>
        <w:tc>
          <w:tcPr>
            <w:tcW w:w="2835" w:type="dxa"/>
            <w:vAlign w:val="center"/>
          </w:tcPr>
          <w:p>
            <w:pPr>
              <w:spacing w:line="300" w:lineRule="exact"/>
              <w:jc w:val="left"/>
              <w:rPr>
                <w:rFonts w:ascii="方正书宋_GBK" w:eastAsia="方正书宋_GBK"/>
                <w:highlight w:val="none"/>
              </w:rPr>
            </w:pPr>
            <w:r>
              <w:rPr>
                <w:rFonts w:ascii="方正书宋_GBK" w:eastAsia="方正书宋_GBK"/>
                <w:highlight w:val="none"/>
              </w:rPr>
              <w:t>0</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75%</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满意度指标</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服务对象满意度指标</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单位满意度</w:t>
            </w:r>
          </w:p>
        </w:tc>
        <w:tc>
          <w:tcPr>
            <w:tcW w:w="283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单位满意度</w:t>
            </w:r>
          </w:p>
        </w:tc>
        <w:tc>
          <w:tcPr>
            <w:tcW w:w="2551"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w:t>
            </w:r>
            <w:r>
              <w:rPr>
                <w:rFonts w:ascii="方正书宋_GBK" w:eastAsia="方正书宋_GBK"/>
                <w:highlight w:val="none"/>
              </w:rPr>
              <w:t>88%</w:t>
            </w:r>
          </w:p>
        </w:tc>
        <w:tc>
          <w:tcPr>
            <w:tcW w:w="2268"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说明</w:t>
            </w:r>
          </w:p>
        </w:tc>
      </w:tr>
    </w:tbl>
    <w:p>
      <w:pPr>
        <w:rPr>
          <w:rFonts w:ascii="黑体" w:hAnsi="黑体" w:eastAsia="宋体" w:cs="仿宋"/>
          <w:sz w:val="32"/>
          <w:szCs w:val="32"/>
          <w:highlight w:val="none"/>
        </w:rPr>
      </w:pPr>
    </w:p>
    <w:p>
      <w:pPr>
        <w:rPr>
          <w:rFonts w:ascii="黑体" w:hAnsi="黑体" w:eastAsia="宋体" w:cs="仿宋"/>
          <w:sz w:val="32"/>
          <w:szCs w:val="32"/>
          <w:highlight w:val="none"/>
        </w:rPr>
      </w:pPr>
    </w:p>
    <w:p>
      <w:pPr>
        <w:rPr>
          <w:rFonts w:ascii="黑体" w:hAnsi="黑体" w:eastAsia="宋体" w:cs="仿宋"/>
          <w:sz w:val="32"/>
          <w:szCs w:val="32"/>
          <w:highlight w:val="none"/>
        </w:rPr>
      </w:pPr>
    </w:p>
    <w:p>
      <w:pPr>
        <w:rPr>
          <w:rFonts w:ascii="黑体" w:hAnsi="黑体" w:eastAsia="宋体" w:cs="仿宋"/>
          <w:sz w:val="32"/>
          <w:szCs w:val="32"/>
          <w:highlight w:val="none"/>
        </w:rPr>
      </w:pPr>
    </w:p>
    <w:p>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pPr>
        <w:ind w:firstLine="320" w:firstLineChars="100"/>
        <w:jc w:val="left"/>
        <w:outlineLvl w:val="0"/>
        <w:rPr>
          <w:rFonts w:ascii="仿宋" w:hAnsi="仿宋" w:eastAsia="仿宋"/>
          <w:sz w:val="32"/>
          <w:szCs w:val="32"/>
          <w:highlight w:val="none"/>
        </w:rPr>
      </w:pPr>
      <w:r>
        <w:rPr>
          <w:rFonts w:hint="eastAsia" w:ascii="仿宋" w:hAnsi="仿宋" w:eastAsia="仿宋"/>
          <w:sz w:val="32"/>
          <w:szCs w:val="32"/>
          <w:highlight w:val="none"/>
        </w:rPr>
        <w:t>2021年，我部门安排采购预算17491.03万元。具体内容见下表：</w:t>
      </w:r>
    </w:p>
    <w:tbl>
      <w:tblPr>
        <w:tblStyle w:val="9"/>
        <w:tblpPr w:leftFromText="180" w:rightFromText="180" w:vertAnchor="text" w:horzAnchor="page" w:tblpX="1828" w:tblpY="138"/>
        <w:tblOverlap w:val="never"/>
        <w:tblW w:w="1329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134"/>
        <w:gridCol w:w="1134"/>
        <w:gridCol w:w="1134"/>
        <w:gridCol w:w="708"/>
        <w:gridCol w:w="709"/>
        <w:gridCol w:w="709"/>
        <w:gridCol w:w="992"/>
        <w:gridCol w:w="992"/>
        <w:gridCol w:w="993"/>
        <w:gridCol w:w="708"/>
        <w:gridCol w:w="709"/>
        <w:gridCol w:w="709"/>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2802" w:type="dxa"/>
            <w:gridSpan w:val="2"/>
            <w:vAlign w:val="center"/>
          </w:tcPr>
          <w:p>
            <w:pPr>
              <w:spacing w:line="300" w:lineRule="exact"/>
              <w:jc w:val="center"/>
              <w:rPr>
                <w:rFonts w:ascii="????_GBK" w:eastAsia="Times New Roman"/>
                <w:b/>
                <w:highlight w:val="none"/>
              </w:rPr>
            </w:pPr>
            <w:r>
              <w:rPr>
                <w:rFonts w:hint="eastAsia" w:ascii="宋体" w:hAnsi="宋体" w:cs="宋体"/>
                <w:b/>
                <w:highlight w:val="none"/>
              </w:rPr>
              <w:t>政府采购项目来源</w:t>
            </w:r>
          </w:p>
        </w:tc>
        <w:tc>
          <w:tcPr>
            <w:tcW w:w="1134"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采购物品名称</w:t>
            </w:r>
          </w:p>
        </w:tc>
        <w:tc>
          <w:tcPr>
            <w:tcW w:w="1134"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政府采购目录序号</w:t>
            </w:r>
          </w:p>
        </w:tc>
        <w:tc>
          <w:tcPr>
            <w:tcW w:w="708"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数量单位</w:t>
            </w:r>
          </w:p>
        </w:tc>
        <w:tc>
          <w:tcPr>
            <w:tcW w:w="709"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数量</w:t>
            </w:r>
          </w:p>
        </w:tc>
        <w:tc>
          <w:tcPr>
            <w:tcW w:w="709"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单价</w:t>
            </w:r>
          </w:p>
        </w:tc>
        <w:tc>
          <w:tcPr>
            <w:tcW w:w="6095" w:type="dxa"/>
            <w:gridSpan w:val="7"/>
            <w:vAlign w:val="center"/>
          </w:tcPr>
          <w:p>
            <w:pPr>
              <w:spacing w:line="300" w:lineRule="exact"/>
              <w:jc w:val="center"/>
              <w:rPr>
                <w:rFonts w:ascii="????_GBK" w:eastAsia="Times New Roman"/>
                <w:b/>
                <w:highlight w:val="none"/>
              </w:rPr>
            </w:pPr>
            <w:r>
              <w:rPr>
                <w:rFonts w:hint="eastAsia" w:ascii="宋体" w:hAnsi="宋体" w:cs="宋体"/>
                <w:b/>
                <w:highlight w:val="none"/>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1668"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项目名称</w:t>
            </w:r>
          </w:p>
        </w:tc>
        <w:tc>
          <w:tcPr>
            <w:tcW w:w="1134"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预算资金</w:t>
            </w:r>
          </w:p>
        </w:tc>
        <w:tc>
          <w:tcPr>
            <w:tcW w:w="1134" w:type="dxa"/>
            <w:vMerge w:val="continue"/>
            <w:vAlign w:val="center"/>
          </w:tcPr>
          <w:p>
            <w:pPr>
              <w:spacing w:line="300" w:lineRule="exact"/>
              <w:jc w:val="left"/>
              <w:outlineLvl w:val="0"/>
              <w:rPr>
                <w:highlight w:val="none"/>
              </w:rPr>
            </w:pPr>
          </w:p>
        </w:tc>
        <w:tc>
          <w:tcPr>
            <w:tcW w:w="1134" w:type="dxa"/>
            <w:vMerge w:val="continue"/>
            <w:vAlign w:val="center"/>
          </w:tcPr>
          <w:p>
            <w:pPr>
              <w:spacing w:line="300" w:lineRule="exact"/>
              <w:jc w:val="left"/>
              <w:outlineLvl w:val="0"/>
              <w:rPr>
                <w:highlight w:val="none"/>
              </w:rPr>
            </w:pPr>
          </w:p>
        </w:tc>
        <w:tc>
          <w:tcPr>
            <w:tcW w:w="708" w:type="dxa"/>
            <w:vMerge w:val="continue"/>
            <w:vAlign w:val="center"/>
          </w:tcPr>
          <w:p>
            <w:pPr>
              <w:spacing w:line="300" w:lineRule="exact"/>
              <w:jc w:val="left"/>
              <w:outlineLvl w:val="0"/>
              <w:rPr>
                <w:highlight w:val="none"/>
              </w:rPr>
            </w:pPr>
          </w:p>
        </w:tc>
        <w:tc>
          <w:tcPr>
            <w:tcW w:w="709" w:type="dxa"/>
            <w:vMerge w:val="continue"/>
            <w:vAlign w:val="center"/>
          </w:tcPr>
          <w:p>
            <w:pPr>
              <w:spacing w:line="300" w:lineRule="exact"/>
              <w:jc w:val="left"/>
              <w:outlineLvl w:val="0"/>
              <w:rPr>
                <w:highlight w:val="none"/>
              </w:rPr>
            </w:pPr>
          </w:p>
        </w:tc>
        <w:tc>
          <w:tcPr>
            <w:tcW w:w="709" w:type="dxa"/>
            <w:vMerge w:val="continue"/>
            <w:vAlign w:val="center"/>
          </w:tcPr>
          <w:p>
            <w:pPr>
              <w:spacing w:line="300" w:lineRule="exact"/>
              <w:jc w:val="left"/>
              <w:outlineLvl w:val="0"/>
              <w:rPr>
                <w:highlight w:val="none"/>
              </w:rPr>
            </w:pPr>
          </w:p>
        </w:tc>
        <w:tc>
          <w:tcPr>
            <w:tcW w:w="992"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总计</w:t>
            </w:r>
          </w:p>
        </w:tc>
        <w:tc>
          <w:tcPr>
            <w:tcW w:w="4111" w:type="dxa"/>
            <w:gridSpan w:val="5"/>
            <w:vAlign w:val="center"/>
          </w:tcPr>
          <w:p>
            <w:pPr>
              <w:spacing w:line="300" w:lineRule="exact"/>
              <w:jc w:val="center"/>
              <w:rPr>
                <w:rFonts w:ascii="????_GBK" w:eastAsia="Times New Roman"/>
                <w:b/>
                <w:highlight w:val="none"/>
              </w:rPr>
            </w:pPr>
            <w:r>
              <w:rPr>
                <w:rFonts w:hint="eastAsia" w:ascii="宋体" w:hAnsi="宋体" w:cs="宋体"/>
                <w:b/>
                <w:highlight w:val="none"/>
              </w:rPr>
              <w:t>当年部门预算安排资金</w:t>
            </w:r>
          </w:p>
        </w:tc>
        <w:tc>
          <w:tcPr>
            <w:tcW w:w="992" w:type="dxa"/>
            <w:vMerge w:val="restart"/>
            <w:vAlign w:val="center"/>
          </w:tcPr>
          <w:p>
            <w:pPr>
              <w:spacing w:line="300" w:lineRule="exact"/>
              <w:jc w:val="center"/>
              <w:rPr>
                <w:rFonts w:ascii="????_GBK" w:eastAsia="Times New Roman"/>
                <w:b/>
                <w:highlight w:val="none"/>
              </w:rPr>
            </w:pPr>
            <w:r>
              <w:rPr>
                <w:rFonts w:hint="eastAsia" w:ascii="宋体" w:hAnsi="宋体" w:cs="宋体"/>
                <w:b/>
                <w:highlight w:val="none"/>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4" w:hRule="atLeast"/>
          <w:tblHeader/>
        </w:trPr>
        <w:tc>
          <w:tcPr>
            <w:tcW w:w="1668" w:type="dxa"/>
            <w:vMerge w:val="continue"/>
            <w:vAlign w:val="center"/>
          </w:tcPr>
          <w:p>
            <w:pPr>
              <w:spacing w:line="300" w:lineRule="exact"/>
              <w:jc w:val="left"/>
              <w:outlineLvl w:val="0"/>
              <w:rPr>
                <w:highlight w:val="none"/>
              </w:rPr>
            </w:pPr>
          </w:p>
        </w:tc>
        <w:tc>
          <w:tcPr>
            <w:tcW w:w="1134" w:type="dxa"/>
            <w:vMerge w:val="continue"/>
            <w:vAlign w:val="center"/>
          </w:tcPr>
          <w:p>
            <w:pPr>
              <w:spacing w:line="300" w:lineRule="exact"/>
              <w:jc w:val="left"/>
              <w:outlineLvl w:val="0"/>
              <w:rPr>
                <w:highlight w:val="none"/>
              </w:rPr>
            </w:pPr>
          </w:p>
        </w:tc>
        <w:tc>
          <w:tcPr>
            <w:tcW w:w="1134" w:type="dxa"/>
            <w:vMerge w:val="continue"/>
            <w:vAlign w:val="center"/>
          </w:tcPr>
          <w:p>
            <w:pPr>
              <w:spacing w:line="300" w:lineRule="exact"/>
              <w:jc w:val="left"/>
              <w:outlineLvl w:val="0"/>
              <w:rPr>
                <w:highlight w:val="none"/>
              </w:rPr>
            </w:pPr>
          </w:p>
        </w:tc>
        <w:tc>
          <w:tcPr>
            <w:tcW w:w="1134" w:type="dxa"/>
            <w:vMerge w:val="continue"/>
            <w:vAlign w:val="center"/>
          </w:tcPr>
          <w:p>
            <w:pPr>
              <w:spacing w:line="300" w:lineRule="exact"/>
              <w:jc w:val="left"/>
              <w:outlineLvl w:val="0"/>
              <w:rPr>
                <w:highlight w:val="none"/>
              </w:rPr>
            </w:pPr>
          </w:p>
        </w:tc>
        <w:tc>
          <w:tcPr>
            <w:tcW w:w="708" w:type="dxa"/>
            <w:vMerge w:val="continue"/>
            <w:vAlign w:val="center"/>
          </w:tcPr>
          <w:p>
            <w:pPr>
              <w:spacing w:line="300" w:lineRule="exact"/>
              <w:jc w:val="left"/>
              <w:outlineLvl w:val="0"/>
              <w:rPr>
                <w:highlight w:val="none"/>
              </w:rPr>
            </w:pPr>
          </w:p>
        </w:tc>
        <w:tc>
          <w:tcPr>
            <w:tcW w:w="709" w:type="dxa"/>
            <w:vMerge w:val="continue"/>
            <w:vAlign w:val="center"/>
          </w:tcPr>
          <w:p>
            <w:pPr>
              <w:spacing w:line="300" w:lineRule="exact"/>
              <w:jc w:val="left"/>
              <w:outlineLvl w:val="0"/>
              <w:rPr>
                <w:highlight w:val="none"/>
              </w:rPr>
            </w:pPr>
          </w:p>
        </w:tc>
        <w:tc>
          <w:tcPr>
            <w:tcW w:w="709" w:type="dxa"/>
            <w:vMerge w:val="continue"/>
            <w:vAlign w:val="center"/>
          </w:tcPr>
          <w:p>
            <w:pPr>
              <w:spacing w:line="300" w:lineRule="exact"/>
              <w:jc w:val="left"/>
              <w:outlineLvl w:val="0"/>
              <w:rPr>
                <w:highlight w:val="none"/>
              </w:rPr>
            </w:pPr>
          </w:p>
        </w:tc>
        <w:tc>
          <w:tcPr>
            <w:tcW w:w="992" w:type="dxa"/>
            <w:vMerge w:val="continue"/>
            <w:vAlign w:val="center"/>
          </w:tcPr>
          <w:p>
            <w:pPr>
              <w:spacing w:line="300" w:lineRule="exact"/>
              <w:jc w:val="left"/>
              <w:outlineLvl w:val="0"/>
              <w:rPr>
                <w:highlight w:val="none"/>
              </w:rPr>
            </w:pPr>
          </w:p>
        </w:tc>
        <w:tc>
          <w:tcPr>
            <w:tcW w:w="992" w:type="dxa"/>
            <w:vAlign w:val="center"/>
          </w:tcPr>
          <w:p>
            <w:pPr>
              <w:spacing w:line="300" w:lineRule="exact"/>
              <w:jc w:val="center"/>
              <w:rPr>
                <w:rFonts w:ascii="????_GBK" w:eastAsia="Times New Roman"/>
                <w:b/>
                <w:highlight w:val="none"/>
              </w:rPr>
            </w:pPr>
            <w:r>
              <w:rPr>
                <w:rFonts w:hint="eastAsia" w:ascii="宋体" w:hAnsi="宋体" w:cs="宋体"/>
                <w:b/>
                <w:highlight w:val="none"/>
              </w:rPr>
              <w:t>合计</w:t>
            </w:r>
          </w:p>
        </w:tc>
        <w:tc>
          <w:tcPr>
            <w:tcW w:w="993" w:type="dxa"/>
            <w:vAlign w:val="center"/>
          </w:tcPr>
          <w:p>
            <w:pPr>
              <w:spacing w:line="300" w:lineRule="exact"/>
              <w:jc w:val="center"/>
              <w:rPr>
                <w:rFonts w:ascii="????_GBK" w:eastAsia="Times New Roman"/>
                <w:b/>
                <w:highlight w:val="none"/>
              </w:rPr>
            </w:pPr>
            <w:r>
              <w:rPr>
                <w:rFonts w:hint="eastAsia" w:ascii="宋体" w:hAnsi="宋体" w:cs="宋体"/>
                <w:b/>
                <w:highlight w:val="none"/>
              </w:rPr>
              <w:t>一般公共预算拨款</w:t>
            </w:r>
          </w:p>
        </w:tc>
        <w:tc>
          <w:tcPr>
            <w:tcW w:w="708" w:type="dxa"/>
            <w:vAlign w:val="center"/>
          </w:tcPr>
          <w:p>
            <w:pPr>
              <w:spacing w:line="300" w:lineRule="exact"/>
              <w:jc w:val="center"/>
              <w:rPr>
                <w:rFonts w:ascii="????_GBK" w:eastAsia="Times New Roman"/>
                <w:b/>
                <w:highlight w:val="none"/>
              </w:rPr>
            </w:pPr>
            <w:r>
              <w:rPr>
                <w:rFonts w:hint="eastAsia" w:ascii="宋体" w:hAnsi="宋体" w:cs="宋体"/>
                <w:b/>
                <w:highlight w:val="none"/>
              </w:rPr>
              <w:t>基金预算拨款</w:t>
            </w:r>
          </w:p>
        </w:tc>
        <w:tc>
          <w:tcPr>
            <w:tcW w:w="709" w:type="dxa"/>
            <w:vAlign w:val="center"/>
          </w:tcPr>
          <w:p>
            <w:pPr>
              <w:spacing w:line="300" w:lineRule="exact"/>
              <w:jc w:val="center"/>
              <w:rPr>
                <w:rFonts w:ascii="????_GBK" w:eastAsia="Times New Roman"/>
                <w:b/>
                <w:highlight w:val="none"/>
              </w:rPr>
            </w:pPr>
            <w:r>
              <w:rPr>
                <w:rFonts w:hint="eastAsia" w:ascii="宋体" w:hAnsi="宋体" w:cs="宋体"/>
                <w:b/>
                <w:highlight w:val="none"/>
              </w:rPr>
              <w:t>财政专户核拨</w:t>
            </w:r>
          </w:p>
        </w:tc>
        <w:tc>
          <w:tcPr>
            <w:tcW w:w="709" w:type="dxa"/>
            <w:vAlign w:val="center"/>
          </w:tcPr>
          <w:p>
            <w:pPr>
              <w:spacing w:line="300" w:lineRule="exact"/>
              <w:jc w:val="center"/>
              <w:rPr>
                <w:rFonts w:ascii="????_GBK" w:eastAsia="Times New Roman"/>
                <w:b/>
                <w:highlight w:val="none"/>
              </w:rPr>
            </w:pPr>
            <w:r>
              <w:rPr>
                <w:rFonts w:hint="eastAsia" w:ascii="宋体" w:hAnsi="宋体" w:cs="宋体"/>
                <w:b/>
                <w:highlight w:val="none"/>
              </w:rPr>
              <w:t>其他来源收入</w:t>
            </w:r>
          </w:p>
        </w:tc>
        <w:tc>
          <w:tcPr>
            <w:tcW w:w="992" w:type="dxa"/>
            <w:vMerge w:val="continue"/>
            <w:vAlign w:val="center"/>
          </w:tcPr>
          <w:p>
            <w:pPr>
              <w:spacing w:line="300" w:lineRule="exact"/>
              <w:jc w:val="left"/>
              <w:outlineLvl w:val="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jc w:val="center"/>
              <w:rPr>
                <w:rFonts w:ascii="宋体" w:hAnsi="宋体" w:eastAsia="宋体"/>
                <w:b/>
                <w:highlight w:val="none"/>
              </w:rPr>
            </w:pPr>
            <w:r>
              <w:rPr>
                <w:rFonts w:hint="eastAsia" w:ascii="宋体" w:hAnsi="宋体" w:eastAsia="宋体"/>
                <w:b/>
                <w:highlight w:val="none"/>
              </w:rPr>
              <w:t>保定白沟新城规划建设局</w:t>
            </w:r>
          </w:p>
          <w:p>
            <w:pPr>
              <w:spacing w:line="300" w:lineRule="exact"/>
              <w:jc w:val="center"/>
              <w:rPr>
                <w:rFonts w:ascii="宋体" w:hAnsi="宋体" w:eastAsia="宋体"/>
                <w:b/>
                <w:highlight w:val="none"/>
              </w:rPr>
            </w:pPr>
            <w:r>
              <w:rPr>
                <w:rFonts w:hint="eastAsia" w:ascii="宋体" w:hAnsi="宋体" w:eastAsia="宋体"/>
                <w:b/>
                <w:highlight w:val="none"/>
              </w:rPr>
              <w:t>小计</w:t>
            </w:r>
          </w:p>
        </w:tc>
        <w:tc>
          <w:tcPr>
            <w:tcW w:w="1134" w:type="dxa"/>
            <w:vAlign w:val="center"/>
          </w:tcPr>
          <w:p>
            <w:pPr>
              <w:spacing w:line="300" w:lineRule="exact"/>
              <w:jc w:val="right"/>
              <w:rPr>
                <w:rFonts w:ascii="宋体" w:hAnsi="宋体" w:eastAsia="宋体"/>
                <w:b/>
                <w:highlight w:val="none"/>
              </w:rPr>
            </w:pPr>
            <w:r>
              <w:rPr>
                <w:rFonts w:hint="eastAsia" w:ascii="宋体" w:hAnsi="宋体" w:eastAsia="宋体"/>
                <w:b/>
                <w:highlight w:val="none"/>
              </w:rPr>
              <w:t>17491.03</w:t>
            </w:r>
          </w:p>
        </w:tc>
        <w:tc>
          <w:tcPr>
            <w:tcW w:w="1134" w:type="dxa"/>
            <w:vAlign w:val="center"/>
          </w:tcPr>
          <w:p>
            <w:pPr>
              <w:spacing w:line="300" w:lineRule="exact"/>
              <w:jc w:val="left"/>
              <w:rPr>
                <w:rFonts w:ascii="宋体" w:hAnsi="宋体" w:eastAsia="宋体"/>
                <w:b/>
                <w:highlight w:val="none"/>
              </w:rPr>
            </w:pPr>
          </w:p>
        </w:tc>
        <w:tc>
          <w:tcPr>
            <w:tcW w:w="1134" w:type="dxa"/>
            <w:vAlign w:val="center"/>
          </w:tcPr>
          <w:p>
            <w:pPr>
              <w:spacing w:line="300" w:lineRule="exact"/>
              <w:jc w:val="left"/>
              <w:rPr>
                <w:rFonts w:ascii="宋体" w:hAnsi="宋体" w:eastAsia="宋体"/>
                <w:b/>
                <w:highlight w:val="none"/>
              </w:rPr>
            </w:pPr>
          </w:p>
        </w:tc>
        <w:tc>
          <w:tcPr>
            <w:tcW w:w="708" w:type="dxa"/>
            <w:vAlign w:val="center"/>
          </w:tcPr>
          <w:p>
            <w:pPr>
              <w:spacing w:line="300" w:lineRule="exact"/>
              <w:jc w:val="left"/>
              <w:rPr>
                <w:rFonts w:ascii="宋体" w:hAnsi="宋体" w:eastAsia="宋体"/>
                <w:b/>
                <w:highlight w:val="none"/>
              </w:rPr>
            </w:pPr>
          </w:p>
        </w:tc>
        <w:tc>
          <w:tcPr>
            <w:tcW w:w="709" w:type="dxa"/>
            <w:vAlign w:val="center"/>
          </w:tcPr>
          <w:p>
            <w:pPr>
              <w:spacing w:line="300" w:lineRule="exact"/>
              <w:jc w:val="right"/>
              <w:rPr>
                <w:rFonts w:ascii="宋体" w:hAnsi="宋体" w:eastAsia="宋体"/>
                <w:b/>
                <w:highlight w:val="none"/>
              </w:rPr>
            </w:pPr>
          </w:p>
        </w:tc>
        <w:tc>
          <w:tcPr>
            <w:tcW w:w="709" w:type="dxa"/>
            <w:vAlign w:val="center"/>
          </w:tcPr>
          <w:p>
            <w:pPr>
              <w:spacing w:line="300" w:lineRule="exact"/>
              <w:jc w:val="right"/>
              <w:rPr>
                <w:rFonts w:ascii="宋体" w:hAnsi="宋体" w:eastAsia="宋体"/>
                <w:b/>
                <w:highlight w:val="none"/>
              </w:rPr>
            </w:pPr>
          </w:p>
        </w:tc>
        <w:tc>
          <w:tcPr>
            <w:tcW w:w="992" w:type="dxa"/>
            <w:vAlign w:val="center"/>
          </w:tcPr>
          <w:p>
            <w:pPr>
              <w:spacing w:line="300" w:lineRule="exact"/>
              <w:jc w:val="right"/>
              <w:rPr>
                <w:rFonts w:ascii="????_GBK"/>
                <w:sz w:val="18"/>
                <w:szCs w:val="18"/>
                <w:highlight w:val="none"/>
              </w:rPr>
            </w:pPr>
            <w:r>
              <w:rPr>
                <w:rFonts w:hint="eastAsia" w:ascii="????_GBK"/>
                <w:sz w:val="18"/>
                <w:szCs w:val="18"/>
                <w:highlight w:val="none"/>
              </w:rPr>
              <w:t>17491.03</w:t>
            </w:r>
          </w:p>
        </w:tc>
        <w:tc>
          <w:tcPr>
            <w:tcW w:w="992" w:type="dxa"/>
            <w:vAlign w:val="center"/>
          </w:tcPr>
          <w:p>
            <w:pPr>
              <w:jc w:val="center"/>
              <w:rPr>
                <w:rFonts w:ascii="宋体" w:hAnsi="宋体" w:cs="宋体"/>
                <w:sz w:val="18"/>
                <w:szCs w:val="18"/>
                <w:highlight w:val="none"/>
              </w:rPr>
            </w:pPr>
            <w:r>
              <w:rPr>
                <w:rFonts w:hint="eastAsia" w:ascii="宋体" w:hAnsi="宋体" w:cs="宋体"/>
                <w:sz w:val="18"/>
                <w:szCs w:val="18"/>
                <w:highlight w:val="none"/>
              </w:rPr>
              <w:t>17491.03</w:t>
            </w:r>
          </w:p>
        </w:tc>
        <w:tc>
          <w:tcPr>
            <w:tcW w:w="993" w:type="dxa"/>
            <w:vAlign w:val="center"/>
          </w:tcPr>
          <w:p>
            <w:pPr>
              <w:jc w:val="center"/>
              <w:rPr>
                <w:rFonts w:ascii="宋体" w:hAnsi="宋体" w:cs="宋体"/>
                <w:sz w:val="18"/>
                <w:szCs w:val="18"/>
                <w:highlight w:val="none"/>
              </w:rPr>
            </w:pPr>
            <w:r>
              <w:rPr>
                <w:rFonts w:hint="eastAsia" w:ascii="宋体" w:hAnsi="宋体" w:cs="宋体"/>
                <w:sz w:val="18"/>
                <w:szCs w:val="18"/>
                <w:highlight w:val="none"/>
              </w:rPr>
              <w:t>17491.03</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eastAsia="Times New Roman"/>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2.7</w:t>
            </w:r>
          </w:p>
        </w:tc>
        <w:tc>
          <w:tcPr>
            <w:tcW w:w="1134" w:type="dxa"/>
            <w:vAlign w:val="center"/>
          </w:tcPr>
          <w:p>
            <w:pPr>
              <w:rPr>
                <w:rFonts w:ascii="宋体" w:hAnsi="宋体" w:eastAsia="宋体" w:cs="宋体"/>
                <w:sz w:val="22"/>
                <w:szCs w:val="22"/>
                <w:highlight w:val="none"/>
              </w:rPr>
            </w:pPr>
            <w:r>
              <w:rPr>
                <w:rFonts w:hint="eastAsia" w:ascii="宋体" w:hAnsi="宋体" w:eastAsia="宋体" w:cs="宋体"/>
                <w:sz w:val="22"/>
                <w:szCs w:val="22"/>
                <w:highlight w:val="none"/>
              </w:rPr>
              <w:t>电脑</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020101</w:t>
            </w:r>
          </w:p>
        </w:tc>
        <w:tc>
          <w:tcPr>
            <w:tcW w:w="708" w:type="dxa"/>
            <w:vAlign w:val="center"/>
          </w:tcPr>
          <w:p>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6</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0.45</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2.7</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2.7</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2.7</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0.8</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打印机</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020101601</w:t>
            </w:r>
          </w:p>
        </w:tc>
        <w:tc>
          <w:tcPr>
            <w:tcW w:w="708" w:type="dxa"/>
            <w:vAlign w:val="center"/>
          </w:tcPr>
          <w:p>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4</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0.2</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0.8</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0.8</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0.8</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0.6</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办公桌</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06</w:t>
            </w:r>
          </w:p>
        </w:tc>
        <w:tc>
          <w:tcPr>
            <w:tcW w:w="708" w:type="dxa"/>
            <w:vAlign w:val="center"/>
          </w:tcPr>
          <w:p>
            <w:pPr>
              <w:spacing w:line="300" w:lineRule="exact"/>
              <w:jc w:val="center"/>
              <w:rPr>
                <w:rFonts w:ascii="宋体" w:hAnsi="宋体" w:eastAsia="宋体"/>
                <w:highlight w:val="none"/>
              </w:rPr>
            </w:pPr>
            <w:r>
              <w:rPr>
                <w:rFonts w:ascii="宋体" w:hAnsi="宋体" w:eastAsia="宋体"/>
                <w:highlight w:val="none"/>
              </w:rPr>
              <w:t>张</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10</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0.06</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0.6</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0.6</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0.6</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0.39</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办公椅</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06</w:t>
            </w:r>
          </w:p>
        </w:tc>
        <w:tc>
          <w:tcPr>
            <w:tcW w:w="708" w:type="dxa"/>
            <w:vAlign w:val="center"/>
          </w:tcPr>
          <w:p>
            <w:pPr>
              <w:spacing w:line="300" w:lineRule="exact"/>
              <w:jc w:val="center"/>
              <w:rPr>
                <w:rFonts w:ascii="宋体" w:hAnsi="宋体" w:eastAsia="宋体"/>
                <w:highlight w:val="none"/>
              </w:rPr>
            </w:pPr>
            <w:r>
              <w:rPr>
                <w:rFonts w:ascii="宋体" w:hAnsi="宋体" w:eastAsia="宋体"/>
                <w:highlight w:val="none"/>
              </w:rPr>
              <w:t>把</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13</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0.03</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0.39</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0.39</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0.39</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0.1</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档案柜</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06</w:t>
            </w:r>
          </w:p>
        </w:tc>
        <w:tc>
          <w:tcPr>
            <w:tcW w:w="708" w:type="dxa"/>
            <w:vAlign w:val="center"/>
          </w:tcPr>
          <w:p>
            <w:pPr>
              <w:spacing w:line="300" w:lineRule="exact"/>
              <w:jc w:val="center"/>
              <w:rPr>
                <w:rFonts w:ascii="宋体" w:hAnsi="宋体" w:eastAsia="宋体"/>
                <w:highlight w:val="none"/>
              </w:rPr>
            </w:pPr>
            <w:r>
              <w:rPr>
                <w:rFonts w:ascii="宋体" w:hAnsi="宋体" w:eastAsia="宋体"/>
                <w:highlight w:val="none"/>
              </w:rPr>
              <w:t>个</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2</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0.05</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0.1</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0.1</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0.1</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2.7</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空调挂机</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0206180203</w:t>
            </w:r>
          </w:p>
        </w:tc>
        <w:tc>
          <w:tcPr>
            <w:tcW w:w="708" w:type="dxa"/>
            <w:vAlign w:val="center"/>
          </w:tcPr>
          <w:p>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9</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0.3</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2.7</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2.7</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2.7</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rPr>
                <w:rFonts w:ascii="宋体" w:hAnsi="宋体" w:eastAsia="宋体"/>
                <w:highlight w:val="none"/>
              </w:rPr>
            </w:pPr>
            <w:r>
              <w:rPr>
                <w:rFonts w:ascii="宋体" w:hAnsi="宋体" w:eastAsia="宋体"/>
                <w:highlight w:val="none"/>
              </w:rPr>
              <w:t>购置办公设备</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0.6</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空调柜机</w:t>
            </w:r>
          </w:p>
        </w:tc>
        <w:tc>
          <w:tcPr>
            <w:tcW w:w="1134" w:type="dxa"/>
            <w:vAlign w:val="center"/>
          </w:tcPr>
          <w:p>
            <w:pPr>
              <w:rPr>
                <w:rFonts w:ascii="宋体" w:hAnsi="宋体" w:eastAsia="宋体" w:cs="宋体"/>
                <w:sz w:val="22"/>
                <w:szCs w:val="22"/>
                <w:highlight w:val="none"/>
              </w:rPr>
            </w:pPr>
            <w:r>
              <w:rPr>
                <w:rFonts w:ascii="宋体" w:hAnsi="宋体" w:eastAsia="宋体" w:cs="宋体"/>
                <w:sz w:val="22"/>
                <w:szCs w:val="22"/>
                <w:highlight w:val="none"/>
              </w:rPr>
              <w:t>A</w:t>
            </w:r>
            <w:r>
              <w:rPr>
                <w:rFonts w:hint="eastAsia" w:ascii="宋体" w:hAnsi="宋体" w:eastAsia="宋体" w:cs="宋体"/>
                <w:sz w:val="22"/>
                <w:szCs w:val="22"/>
                <w:highlight w:val="none"/>
              </w:rPr>
              <w:t>0206180203</w:t>
            </w:r>
          </w:p>
        </w:tc>
        <w:tc>
          <w:tcPr>
            <w:tcW w:w="708" w:type="dxa"/>
            <w:vAlign w:val="center"/>
          </w:tcPr>
          <w:p>
            <w:pPr>
              <w:spacing w:line="300" w:lineRule="exact"/>
              <w:jc w:val="center"/>
              <w:rPr>
                <w:rFonts w:ascii="宋体" w:hAnsi="宋体" w:eastAsia="宋体"/>
                <w:highlight w:val="none"/>
              </w:rPr>
            </w:pPr>
            <w:r>
              <w:rPr>
                <w:rFonts w:ascii="宋体" w:hAnsi="宋体" w:eastAsia="宋体"/>
                <w:highlight w:val="none"/>
              </w:rPr>
              <w:t>台</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1</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0.6</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0.6</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0.6</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0.6</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68" w:type="dxa"/>
            <w:vAlign w:val="center"/>
          </w:tcPr>
          <w:p>
            <w:pPr>
              <w:spacing w:line="300" w:lineRule="exact"/>
              <w:jc w:val="center"/>
              <w:rPr>
                <w:rFonts w:ascii="宋体" w:hAnsi="宋体" w:eastAsia="宋体"/>
                <w:b/>
                <w:highlight w:val="none"/>
              </w:rPr>
            </w:pPr>
            <w:r>
              <w:rPr>
                <w:rFonts w:hint="eastAsia" w:ascii="宋体" w:hAnsi="宋体" w:eastAsia="宋体" w:cs="宋体"/>
                <w:kern w:val="0"/>
                <w:sz w:val="22"/>
                <w:szCs w:val="22"/>
                <w:highlight w:val="none"/>
              </w:rPr>
              <w:t>环卫工人意外工伤保险</w:t>
            </w:r>
          </w:p>
        </w:tc>
        <w:tc>
          <w:tcPr>
            <w:tcW w:w="1134" w:type="dxa"/>
            <w:vAlign w:val="center"/>
          </w:tcPr>
          <w:p>
            <w:pPr>
              <w:jc w:val="center"/>
              <w:rPr>
                <w:rFonts w:ascii="宋体" w:hAnsi="宋体" w:eastAsia="宋体" w:cs="宋体"/>
                <w:sz w:val="22"/>
                <w:szCs w:val="22"/>
                <w:highlight w:val="none"/>
              </w:rPr>
            </w:pPr>
            <w:r>
              <w:rPr>
                <w:rFonts w:hint="eastAsia" w:ascii="宋体" w:hAnsi="宋体" w:eastAsia="宋体" w:cs="宋体"/>
                <w:color w:val="000000"/>
                <w:kern w:val="0"/>
                <w:sz w:val="22"/>
                <w:szCs w:val="22"/>
                <w:highlight w:val="none"/>
              </w:rPr>
              <w:t>30</w:t>
            </w:r>
          </w:p>
        </w:tc>
        <w:tc>
          <w:tcPr>
            <w:tcW w:w="1134" w:type="dxa"/>
            <w:vAlign w:val="center"/>
          </w:tcPr>
          <w:p>
            <w:pPr>
              <w:rPr>
                <w:rFonts w:ascii="宋体" w:hAnsi="宋体" w:eastAsia="宋体" w:cs="宋体"/>
                <w:sz w:val="22"/>
                <w:szCs w:val="22"/>
                <w:highlight w:val="none"/>
              </w:rPr>
            </w:pPr>
            <w:r>
              <w:rPr>
                <w:rFonts w:hint="eastAsia" w:ascii="宋体" w:hAnsi="宋体" w:eastAsia="宋体" w:cs="宋体"/>
                <w:kern w:val="0"/>
                <w:sz w:val="22"/>
                <w:szCs w:val="22"/>
                <w:highlight w:val="none"/>
              </w:rPr>
              <w:t>保险服务</w:t>
            </w:r>
          </w:p>
        </w:tc>
        <w:tc>
          <w:tcPr>
            <w:tcW w:w="1134" w:type="dxa"/>
            <w:vAlign w:val="center"/>
          </w:tcPr>
          <w:p>
            <w:pPr>
              <w:rPr>
                <w:rFonts w:ascii="宋体" w:hAnsi="宋体" w:eastAsia="宋体" w:cs="宋体"/>
                <w:sz w:val="22"/>
                <w:szCs w:val="22"/>
                <w:highlight w:val="none"/>
              </w:rPr>
            </w:pPr>
            <w:r>
              <w:rPr>
                <w:rFonts w:hint="eastAsia" w:ascii="宋体" w:hAnsi="宋体" w:eastAsia="宋体" w:cs="宋体"/>
                <w:kern w:val="0"/>
                <w:sz w:val="20"/>
                <w:szCs w:val="20"/>
                <w:highlight w:val="none"/>
              </w:rPr>
              <w:t>C1504</w:t>
            </w:r>
          </w:p>
        </w:tc>
        <w:tc>
          <w:tcPr>
            <w:tcW w:w="708" w:type="dxa"/>
            <w:vAlign w:val="center"/>
          </w:tcPr>
          <w:p>
            <w:pPr>
              <w:spacing w:line="300" w:lineRule="exact"/>
              <w:jc w:val="center"/>
              <w:rPr>
                <w:rFonts w:ascii="宋体" w:hAnsi="宋体" w:eastAsia="宋体"/>
                <w:b/>
                <w:highlight w:val="none"/>
              </w:rPr>
            </w:pPr>
            <w:r>
              <w:rPr>
                <w:rFonts w:hint="eastAsia" w:ascii="宋体" w:hAnsi="宋体" w:eastAsia="宋体" w:cs="宋体"/>
                <w:color w:val="000000"/>
                <w:kern w:val="0"/>
                <w:sz w:val="20"/>
                <w:szCs w:val="20"/>
                <w:highlight w:val="none"/>
              </w:rPr>
              <w:t>批</w:t>
            </w:r>
          </w:p>
        </w:tc>
        <w:tc>
          <w:tcPr>
            <w:tcW w:w="709" w:type="dxa"/>
            <w:vAlign w:val="center"/>
          </w:tcPr>
          <w:p>
            <w:pPr>
              <w:spacing w:line="300" w:lineRule="exact"/>
              <w:jc w:val="center"/>
              <w:rPr>
                <w:rFonts w:ascii="宋体" w:hAnsi="宋体" w:eastAsia="宋体"/>
                <w:highlight w:val="none"/>
              </w:rPr>
            </w:pPr>
            <w:r>
              <w:rPr>
                <w:rFonts w:hint="eastAsia" w:ascii="宋体" w:hAnsi="宋体" w:eastAsia="宋体"/>
                <w:highlight w:val="none"/>
              </w:rPr>
              <w:t>1</w:t>
            </w:r>
          </w:p>
        </w:tc>
        <w:tc>
          <w:tcPr>
            <w:tcW w:w="709" w:type="dxa"/>
            <w:vAlign w:val="center"/>
          </w:tcPr>
          <w:p>
            <w:pPr>
              <w:spacing w:line="300" w:lineRule="exact"/>
              <w:jc w:val="right"/>
              <w:rPr>
                <w:rFonts w:ascii="宋体" w:hAnsi="宋体" w:eastAsia="宋体"/>
                <w:highlight w:val="none"/>
              </w:rPr>
            </w:pPr>
            <w:r>
              <w:rPr>
                <w:rFonts w:hint="eastAsia" w:ascii="宋体" w:hAnsi="宋体" w:eastAsia="宋体"/>
                <w:highlight w:val="none"/>
              </w:rPr>
              <w:t>30</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30</w:t>
            </w:r>
          </w:p>
        </w:tc>
        <w:tc>
          <w:tcPr>
            <w:tcW w:w="992" w:type="dxa"/>
            <w:vAlign w:val="center"/>
          </w:tcPr>
          <w:p>
            <w:pPr>
              <w:jc w:val="center"/>
              <w:rPr>
                <w:rFonts w:ascii="宋体" w:hAnsi="宋体" w:cs="宋体"/>
                <w:sz w:val="22"/>
                <w:szCs w:val="22"/>
                <w:highlight w:val="none"/>
              </w:rPr>
            </w:pPr>
            <w:r>
              <w:rPr>
                <w:rFonts w:hint="eastAsia" w:ascii="宋体" w:hAnsi="宋体" w:cs="宋体"/>
                <w:sz w:val="22"/>
                <w:szCs w:val="22"/>
                <w:highlight w:val="none"/>
              </w:rPr>
              <w:t>30</w:t>
            </w:r>
          </w:p>
        </w:tc>
        <w:tc>
          <w:tcPr>
            <w:tcW w:w="993" w:type="dxa"/>
            <w:vAlign w:val="center"/>
          </w:tcPr>
          <w:p>
            <w:pPr>
              <w:jc w:val="center"/>
              <w:rPr>
                <w:rFonts w:ascii="宋体" w:hAnsi="宋体" w:cs="宋体"/>
                <w:sz w:val="22"/>
                <w:szCs w:val="22"/>
                <w:highlight w:val="none"/>
              </w:rPr>
            </w:pPr>
            <w:r>
              <w:rPr>
                <w:rFonts w:hint="eastAsia" w:ascii="宋体" w:hAnsi="宋体" w:cs="宋体"/>
                <w:sz w:val="22"/>
                <w:szCs w:val="22"/>
                <w:highlight w:val="none"/>
              </w:rPr>
              <w:t>30</w:t>
            </w:r>
          </w:p>
        </w:tc>
        <w:tc>
          <w:tcPr>
            <w:tcW w:w="708"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709" w:type="dxa"/>
            <w:vAlign w:val="center"/>
          </w:tcPr>
          <w:p>
            <w:pPr>
              <w:spacing w:line="300" w:lineRule="exact"/>
              <w:jc w:val="right"/>
              <w:rPr>
                <w:rFonts w:ascii="????_GBK" w:eastAsia="Times New Roman"/>
                <w:b/>
                <w:highlight w:val="none"/>
              </w:rPr>
            </w:pPr>
          </w:p>
        </w:tc>
        <w:tc>
          <w:tcPr>
            <w:tcW w:w="992" w:type="dxa"/>
            <w:vAlign w:val="center"/>
          </w:tcPr>
          <w:p>
            <w:pPr>
              <w:spacing w:line="300" w:lineRule="exact"/>
              <w:jc w:val="right"/>
              <w:rPr>
                <w:rFonts w:ascii="????_GBK"/>
                <w:b/>
                <w:highlight w:val="none"/>
              </w:rPr>
            </w:pPr>
          </w:p>
        </w:tc>
      </w:tr>
    </w:tbl>
    <w:tbl>
      <w:tblPr>
        <w:tblStyle w:val="9"/>
        <w:tblW w:w="13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986"/>
        <w:gridCol w:w="1132"/>
        <w:gridCol w:w="1480"/>
        <w:gridCol w:w="721"/>
        <w:gridCol w:w="557"/>
        <w:gridCol w:w="916"/>
        <w:gridCol w:w="955"/>
        <w:gridCol w:w="1140"/>
        <w:gridCol w:w="968"/>
        <w:gridCol w:w="709"/>
        <w:gridCol w:w="662"/>
        <w:gridCol w:w="645"/>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车辆燃料费</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车辆加油服务</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C050302</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77</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407.6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车辆维修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维修和保养服务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C05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62</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236</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车辆保险</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维修和保养服务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C05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64</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迎宾大道墙体立面余装及户外广告翻新</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广告服务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C0806</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除臭剂 </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11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其他货物</w:t>
            </w:r>
          </w:p>
        </w:tc>
        <w:tc>
          <w:tcPr>
            <w:tcW w:w="1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w:t>
            </w:r>
          </w:p>
        </w:tc>
        <w:tc>
          <w:tcPr>
            <w:tcW w:w="7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吨</w:t>
            </w:r>
          </w:p>
        </w:tc>
        <w:tc>
          <w:tcPr>
            <w:tcW w:w="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50</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50.00 </w:t>
            </w:r>
          </w:p>
        </w:tc>
        <w:tc>
          <w:tcPr>
            <w:tcW w:w="9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抑尘剂</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600.00 </w:t>
            </w:r>
          </w:p>
        </w:tc>
        <w:tc>
          <w:tcPr>
            <w:tcW w:w="11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其他货物</w:t>
            </w:r>
          </w:p>
        </w:tc>
        <w:tc>
          <w:tcPr>
            <w:tcW w:w="1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w:t>
            </w:r>
          </w:p>
        </w:tc>
        <w:tc>
          <w:tcPr>
            <w:tcW w:w="7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吨</w:t>
            </w:r>
          </w:p>
        </w:tc>
        <w:tc>
          <w:tcPr>
            <w:tcW w:w="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600.00 </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600.00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600.00</w:t>
            </w:r>
          </w:p>
        </w:tc>
        <w:tc>
          <w:tcPr>
            <w:tcW w:w="96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2"/>
                <w:szCs w:val="22"/>
                <w:highlight w:val="none"/>
              </w:rPr>
            </w:pPr>
            <w:r>
              <w:rPr>
                <w:rFonts w:hint="eastAsia" w:ascii="宋体" w:hAnsi="宋体" w:cs="宋体"/>
                <w:kern w:val="0"/>
                <w:sz w:val="22"/>
                <w:szCs w:val="22"/>
                <w:highlight w:val="none"/>
              </w:rPr>
              <w:t>600.00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车辆购置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其他专用汽车</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A02030799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辆</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果皮箱</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垃圾容器</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A9901</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480</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厕所保洁市场化</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城镇公共卫生服务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C1601</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环卫新建公厕</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市政公共设施用房施工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B0113</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座</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130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2021年春节亮化</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广告服务</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C0806</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260.00</w:t>
            </w:r>
          </w:p>
        </w:tc>
        <w:tc>
          <w:tcPr>
            <w:tcW w:w="9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260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弘康路路灯安装</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92.30 </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92.3</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时代路路灯安装</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77.26 </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77.26 </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77.26 </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77.26</w:t>
            </w:r>
          </w:p>
        </w:tc>
        <w:tc>
          <w:tcPr>
            <w:tcW w:w="96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kern w:val="0"/>
                <w:sz w:val="22"/>
                <w:szCs w:val="22"/>
                <w:highlight w:val="none"/>
              </w:rPr>
              <w:t>77.26</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昝白路路灯安装</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85.71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85.71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85.71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85.71</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kern w:val="0"/>
                <w:sz w:val="22"/>
                <w:szCs w:val="22"/>
                <w:highlight w:val="none"/>
              </w:rPr>
              <w:t>85.71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安康路路灯安装</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9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97.00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胜利大街（北环路至北一环）</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120.00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国税局北侧路（富强大街至富民大街）</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46.00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泰阁西侧、北侧路（北一环东至京白路）</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95.00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天津街（仁和南、中路））</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新大桥路灯电缆</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其他货物</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A99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35.00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路灯智能控制系统</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电子自动化工程安装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B060103</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47.00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雁领路及周边4条路路灯安装</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78.00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金华街路灯安装</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11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其它电子工程安装</w:t>
            </w:r>
          </w:p>
        </w:tc>
        <w:tc>
          <w:tcPr>
            <w:tcW w:w="1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B060199</w:t>
            </w:r>
          </w:p>
        </w:tc>
        <w:tc>
          <w:tcPr>
            <w:tcW w:w="7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9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64.00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白沟新城顾村苗圃移栽项目</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410.00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兴胜大街绿化改造</w:t>
            </w:r>
          </w:p>
        </w:tc>
        <w:tc>
          <w:tcPr>
            <w:tcW w:w="9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1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9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200.00 </w:t>
            </w:r>
          </w:p>
        </w:tc>
        <w:tc>
          <w:tcPr>
            <w:tcW w:w="11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9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五一路提升改造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40.00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城市广场提升改造        </w:t>
            </w:r>
            <w:r>
              <w:rPr>
                <w:rFonts w:hint="eastAsia" w:ascii="宋体" w:hAnsi="宋体" w:cs="宋体"/>
                <w:color w:val="FF0000"/>
                <w:kern w:val="0"/>
                <w:sz w:val="22"/>
                <w:szCs w:val="22"/>
                <w:highlight w:val="none"/>
              </w:rPr>
              <w:t xml:space="preserve">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白沟公园提升改造</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行政大厅南侧绿地改造游园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55.00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兴隆大街与五一路交叉口西北角改造游园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大桥北西侧绿地改造游园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330.00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北一环与十白路交叉口新建2处游园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泰阁门口提升改造游园</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36.00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编制城市绿地系统规划</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30.00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东一环提升改造</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150.00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北一环提升改造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100.00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城区绿化景观设计费</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工程设计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C1003</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50.00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行道树安装树池篦子</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968" w:type="dxa"/>
            <w:tcBorders>
              <w:top w:val="single" w:color="auto" w:sz="4" w:space="0"/>
              <w:left w:val="nil"/>
              <w:bottom w:val="single" w:color="auto" w:sz="4" w:space="0"/>
              <w:right w:val="single" w:color="auto" w:sz="4" w:space="0"/>
            </w:tcBorders>
            <w:vAlign w:val="center"/>
          </w:tcPr>
          <w:p>
            <w:pPr>
              <w:ind w:left="12"/>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兴隆大街提升改造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园林绿化工程施工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B021502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白沟新城排水综合改造工程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768.99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768.99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768.99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768.99</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768.99</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2020年白沟道路提升项目工程 </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2187.00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2187.00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2187.00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2187.00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2187.00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雨污分流改造二期工程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2000.00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2000.00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服饰广场周边道路提升工程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776.00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776.00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776.00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776.00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776.00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白沟镇污水处理厂项目工程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1200.00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1200.00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1200.00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1200.00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白沟第二污水处理厂扩容项目工程</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3300.00 </w:t>
            </w:r>
          </w:p>
        </w:tc>
        <w:tc>
          <w:tcPr>
            <w:tcW w:w="11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4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3300.00 </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3300.00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3300.00</w:t>
            </w:r>
          </w:p>
        </w:tc>
        <w:tc>
          <w:tcPr>
            <w:tcW w:w="96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3300.00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污水处理厂蓄水池除臭设备安装工程 </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230.90 </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水污染治理服务</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C1602</w:t>
            </w:r>
          </w:p>
        </w:tc>
        <w:tc>
          <w:tcPr>
            <w:tcW w:w="7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230.90 </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230.90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230.90</w:t>
            </w:r>
          </w:p>
        </w:tc>
        <w:tc>
          <w:tcPr>
            <w:tcW w:w="96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230.90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星田街便道改造工程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122.08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122.08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122.08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122.08</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122.08</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许庄安置区便道工程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141.00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141.00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141.00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141.00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141.00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安康路与兴胜大街提升改造工程</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200.00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200.00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200.00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200.00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xml:space="preserve">勤政路（兴胜大街到兴隆大街）道路罩面工程 </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82.30</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82.30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市政2021年城区道路维修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45.00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45.00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45.00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45.00 </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45.00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市政2021年城区便道维修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75.00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75.00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75.00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75.00 </w:t>
            </w:r>
          </w:p>
        </w:tc>
        <w:tc>
          <w:tcPr>
            <w:tcW w:w="9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75.00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市政2021年城区排水管网维修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100.00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城市道路工程施工</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B0205</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100.00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100.00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污泥处理项目</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600.00 </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其他服务</w:t>
            </w:r>
          </w:p>
        </w:tc>
        <w:tc>
          <w:tcPr>
            <w:tcW w:w="14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C99</w:t>
            </w:r>
          </w:p>
        </w:tc>
        <w:tc>
          <w:tcPr>
            <w:tcW w:w="72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600.00 </w:t>
            </w:r>
          </w:p>
        </w:tc>
        <w:tc>
          <w:tcPr>
            <w:tcW w:w="95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600.00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600.00</w:t>
            </w:r>
          </w:p>
        </w:tc>
        <w:tc>
          <w:tcPr>
            <w:tcW w:w="968" w:type="dxa"/>
            <w:tcBorders>
              <w:top w:val="nil"/>
              <w:left w:val="nil"/>
              <w:bottom w:val="single" w:color="auto" w:sz="4" w:space="0"/>
              <w:right w:val="single" w:color="auto" w:sz="4" w:space="0"/>
            </w:tcBorders>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600.00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市政排水入网维修检测</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100.00 </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市政公共设施管理服务</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C1302</w:t>
            </w:r>
          </w:p>
        </w:tc>
        <w:tc>
          <w:tcPr>
            <w:tcW w:w="7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9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xml:space="preserve">100.00 </w:t>
            </w:r>
          </w:p>
        </w:tc>
        <w:tc>
          <w:tcPr>
            <w:tcW w:w="9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100.00</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81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污水处理厂安装混合取样厂区地下室检测费</w:t>
            </w:r>
          </w:p>
        </w:tc>
        <w:tc>
          <w:tcPr>
            <w:tcW w:w="9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11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市政公共设施管理服务</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C1302</w:t>
            </w:r>
          </w:p>
        </w:tc>
        <w:tc>
          <w:tcPr>
            <w:tcW w:w="7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9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xml:space="preserve">23.00 </w:t>
            </w:r>
          </w:p>
        </w:tc>
        <w:tc>
          <w:tcPr>
            <w:tcW w:w="9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23.00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6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6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9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bl>
    <w:p>
      <w:pPr>
        <w:rPr>
          <w:rFonts w:ascii="黑体" w:hAnsi="黑体" w:eastAsia="黑体"/>
          <w:sz w:val="32"/>
          <w:szCs w:val="32"/>
          <w:highlight w:val="none"/>
        </w:rPr>
      </w:pPr>
    </w:p>
    <w:p>
      <w:pPr>
        <w:rPr>
          <w:rFonts w:ascii="黑体" w:hAnsi="黑体" w:eastAsia="黑体"/>
          <w:sz w:val="32"/>
          <w:szCs w:val="32"/>
          <w:highlight w:val="none"/>
        </w:rPr>
      </w:pPr>
    </w:p>
    <w:p>
      <w:pPr>
        <w:rPr>
          <w:rFonts w:ascii="黑体" w:hAnsi="黑体" w:eastAsia="黑体"/>
          <w:sz w:val="32"/>
          <w:szCs w:val="32"/>
          <w:highlight w:val="none"/>
        </w:rPr>
      </w:pPr>
    </w:p>
    <w:p>
      <w:pPr>
        <w:rPr>
          <w:rFonts w:ascii="黑体" w:hAnsi="黑体" w:eastAsia="黑体"/>
          <w:sz w:val="32"/>
          <w:szCs w:val="32"/>
          <w:highlight w:val="none"/>
        </w:rPr>
      </w:pPr>
    </w:p>
    <w:p>
      <w:pPr>
        <w:rPr>
          <w:rFonts w:ascii="黑体" w:hAnsi="黑体" w:eastAsia="黑体"/>
          <w:sz w:val="32"/>
          <w:szCs w:val="32"/>
          <w:highlight w:val="none"/>
        </w:rPr>
      </w:pPr>
    </w:p>
    <w:p>
      <w:pPr>
        <w:jc w:val="center"/>
        <w:rPr>
          <w:rFonts w:ascii="黑体" w:hAnsi="黑体" w:eastAsia="黑体"/>
          <w:b/>
          <w:bCs/>
          <w:sz w:val="32"/>
          <w:szCs w:val="32"/>
          <w:highlight w:val="none"/>
        </w:rPr>
      </w:pPr>
      <w:r>
        <w:rPr>
          <w:rFonts w:hint="eastAsia" w:ascii="黑体" w:hAnsi="黑体" w:eastAsia="黑体"/>
          <w:b/>
          <w:bCs/>
          <w:sz w:val="32"/>
          <w:szCs w:val="32"/>
          <w:highlight w:val="none"/>
        </w:rPr>
        <w:t>第七部分：国有资产信息情况</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保定白沟新城规划建设局（含所属单位）上年末固定资产金额为2350.77万元（详见下表），本年度拟购置固定资产总额为307.89万元，主要为计算机设备、打印设备、空调、办公家具等，已列入政府采购预算，详见政府采购预算表。</w:t>
      </w:r>
    </w:p>
    <w:p>
      <w:pPr>
        <w:spacing w:line="500" w:lineRule="exact"/>
        <w:ind w:firstLine="560" w:firstLineChars="200"/>
        <w:jc w:val="left"/>
        <w:rPr>
          <w:rFonts w:eastAsia="方正仿宋_GBK"/>
          <w:sz w:val="28"/>
        </w:rPr>
      </w:pPr>
    </w:p>
    <w:p>
      <w:pPr>
        <w:jc w:val="center"/>
        <w:rPr>
          <w:rFonts w:ascii="仿宋_GB2312" w:hAnsi="黑体" w:eastAsia="仿宋_GB2312"/>
          <w:sz w:val="32"/>
          <w:szCs w:val="32"/>
        </w:rPr>
      </w:pPr>
      <w:r>
        <w:rPr>
          <w:rFonts w:hint="eastAsia" w:ascii="黑体" w:hAnsi="黑体" w:eastAsia="黑体" w:cs="宋体"/>
          <w:bCs/>
          <w:kern w:val="0"/>
          <w:sz w:val="32"/>
          <w:szCs w:val="32"/>
        </w:rPr>
        <w:t>保定白沟新城部门固定资产占用情况表</w:t>
      </w:r>
    </w:p>
    <w:tbl>
      <w:tblPr>
        <w:tblStyle w:val="9"/>
        <w:tblpPr w:leftFromText="180" w:rightFromText="180" w:vertAnchor="text" w:horzAnchor="page" w:tblpX="3853" w:tblpY="405"/>
        <w:tblOverlap w:val="never"/>
        <w:tblW w:w="9060" w:type="dxa"/>
        <w:tblInd w:w="0" w:type="dxa"/>
        <w:tblLayout w:type="fixed"/>
        <w:tblCellMar>
          <w:top w:w="0" w:type="dxa"/>
          <w:left w:w="108" w:type="dxa"/>
          <w:bottom w:w="0" w:type="dxa"/>
          <w:right w:w="108" w:type="dxa"/>
        </w:tblCellMar>
      </w:tblPr>
      <w:tblGrid>
        <w:gridCol w:w="3511"/>
        <w:gridCol w:w="1932"/>
        <w:gridCol w:w="3617"/>
      </w:tblGrid>
      <w:tr>
        <w:tblPrEx>
          <w:tblLayout w:type="fixed"/>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333</w:t>
            </w:r>
            <w:r>
              <w:rPr>
                <w:rFonts w:hint="eastAsia" w:ascii="方正小标宋_GBK" w:eastAsia="方正小标宋_GBK"/>
                <w:sz w:val="24"/>
              </w:rPr>
              <w:t>保定白沟新城规划建设局</w:t>
            </w:r>
          </w:p>
        </w:tc>
        <w:tc>
          <w:tcPr>
            <w:tcW w:w="3617" w:type="dxa"/>
            <w:tcBorders>
              <w:top w:val="nil"/>
              <w:left w:val="nil"/>
              <w:bottom w:val="nil"/>
              <w:right w:val="nil"/>
            </w:tcBorders>
            <w:vAlign w:val="center"/>
          </w:tcPr>
          <w:p>
            <w:pPr>
              <w:spacing w:line="300" w:lineRule="exact"/>
              <w:rPr>
                <w:rFonts w:ascii="方正小标宋_GBK" w:eastAsia="方正小标宋_GBK"/>
                <w:sz w:val="24"/>
              </w:rPr>
            </w:pPr>
            <w:r>
              <w:rPr>
                <w:rFonts w:hint="eastAsia" w:ascii="方正小标宋_GBK" w:eastAsia="方正小标宋_GBK"/>
                <w:sz w:val="24"/>
              </w:rPr>
              <w:t xml:space="preserve">截止时间：2020年12月31日  </w:t>
            </w:r>
          </w:p>
        </w:tc>
      </w:tr>
      <w:tr>
        <w:tblPrEx>
          <w:tblLayout w:type="fixed"/>
          <w:tblCellMar>
            <w:top w:w="0" w:type="dxa"/>
            <w:left w:w="108" w:type="dxa"/>
            <w:bottom w:w="0" w:type="dxa"/>
            <w:right w:w="108" w:type="dxa"/>
          </w:tblCellMar>
        </w:tblPrEx>
        <w:trPr>
          <w:trHeight w:val="702"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2350.77</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szCs w:val="21"/>
                <w:lang w:val="en-US" w:eastAsia="zh-CN"/>
              </w:rPr>
            </w:pPr>
            <w:r>
              <w:rPr>
                <w:rFonts w:hint="eastAsia" w:ascii="方正书宋_GBK" w:eastAsia="方正书宋_GBK"/>
                <w:szCs w:val="21"/>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Layout w:type="fixed"/>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szCs w:val="21"/>
              </w:rPr>
            </w:pPr>
            <w:r>
              <w:rPr>
                <w:rFonts w:hint="eastAsia" w:ascii="方正书宋_GBK" w:eastAsia="方正书宋_GBK"/>
                <w:szCs w:val="21"/>
              </w:rPr>
              <w:t>2350.77</w:t>
            </w:r>
          </w:p>
        </w:tc>
      </w:tr>
    </w:tbl>
    <w:p>
      <w:pPr>
        <w:spacing w:line="500" w:lineRule="exact"/>
        <w:jc w:val="both"/>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hint="eastAsia" w:ascii="黑体" w:hAnsi="黑体" w:eastAsia="黑体"/>
          <w:b/>
          <w:bCs/>
          <w:sz w:val="32"/>
          <w:szCs w:val="32"/>
          <w:highlight w:val="none"/>
        </w:rPr>
      </w:pPr>
    </w:p>
    <w:p>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第八部分：名词解释</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3" w:firstLineChars="200"/>
        <w:jc w:val="left"/>
        <w:outlineLvl w:val="0"/>
        <w:rPr>
          <w:rFonts w:hint="eastAsia" w:ascii="仿宋" w:hAnsi="仿宋" w:eastAsia="仿宋"/>
          <w:b w:val="0"/>
          <w:bCs/>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b w:val="0"/>
          <w:bCs/>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3" w:firstLineChars="200"/>
        <w:jc w:val="left"/>
        <w:outlineLvl w:val="0"/>
        <w:rPr>
          <w:rFonts w:ascii="宋体" w:cs="宋体"/>
          <w:sz w:val="30"/>
          <w:szCs w:val="30"/>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b w:val="0"/>
          <w:bCs/>
          <w:sz w:val="32"/>
          <w:szCs w:val="32"/>
          <w:highlight w:val="none"/>
        </w:rPr>
        <w:t>包括办公费、水电费、邮电费、取暖费、交通费、一般会议费和物业管理费之和。</w:t>
      </w:r>
      <w:bookmarkStart w:id="0" w:name="_GoBack"/>
      <w:bookmarkEnd w:id="0"/>
    </w:p>
    <w:p>
      <w:pPr>
        <w:spacing w:line="500" w:lineRule="exact"/>
        <w:ind w:firstLine="630" w:firstLineChars="196"/>
        <w:jc w:val="center"/>
        <w:outlineLvl w:val="0"/>
        <w:rPr>
          <w:rFonts w:ascii="黑体" w:hAnsi="黑体" w:eastAsia="黑体"/>
          <w:b/>
          <w:bCs/>
          <w:sz w:val="32"/>
          <w:szCs w:val="32"/>
          <w:highlight w:val="none"/>
        </w:rPr>
      </w:pPr>
      <w:r>
        <w:rPr>
          <w:rFonts w:hint="eastAsia" w:ascii="黑体" w:hAnsi="黑体" w:eastAsia="黑体"/>
          <w:b/>
          <w:bCs/>
          <w:sz w:val="32"/>
          <w:szCs w:val="32"/>
          <w:highlight w:val="none"/>
        </w:rPr>
        <w:t>第九部分：其他需说明的事项</w:t>
      </w:r>
    </w:p>
    <w:p>
      <w:pPr>
        <w:spacing w:line="500" w:lineRule="exact"/>
        <w:ind w:firstLine="560" w:firstLineChars="200"/>
        <w:jc w:val="left"/>
        <w:rPr>
          <w:rFonts w:ascii="Times New Roman" w:eastAsia="方正仿宋_GBK"/>
          <w:sz w:val="28"/>
          <w:highlight w:val="none"/>
        </w:rPr>
      </w:pPr>
    </w:p>
    <w:p>
      <w:pPr>
        <w:ind w:firstLine="800" w:firstLineChars="250"/>
        <w:rPr>
          <w:rFonts w:hint="eastAsia" w:ascii="仿宋" w:hAnsi="仿宋" w:eastAsia="仿宋"/>
          <w:sz w:val="32"/>
          <w:szCs w:val="32"/>
          <w:highlight w:val="none"/>
        </w:rPr>
      </w:pPr>
      <w:r>
        <w:rPr>
          <w:rFonts w:hint="eastAsia" w:ascii="仿宋" w:hAnsi="仿宋" w:eastAsia="仿宋"/>
          <w:sz w:val="32"/>
          <w:szCs w:val="32"/>
          <w:highlight w:val="none"/>
        </w:rPr>
        <w:t>我部门无其他需要说明的事项。</w:t>
      </w: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multilevel"/>
    <w:tmpl w:val="0000000D"/>
    <w:lvl w:ilvl="0" w:tentative="1">
      <w:start w:val="8"/>
      <w:numFmt w:val="japaneseCounting"/>
      <w:lvlText w:val="（%1）"/>
      <w:lvlJc w:val="left"/>
      <w:pPr>
        <w:ind w:left="2040" w:hanging="108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0">
    <w:nsid w:val="00000000"/>
    <w:multiLevelType w:val="singleLevel"/>
    <w:tmpl w:val="00000000"/>
    <w:lvl w:ilvl="0" w:tentative="1">
      <w:start w:val="1"/>
      <w:numFmt w:val="chineseCounting"/>
      <w:suff w:val="nothing"/>
      <w:lvlText w:val="%1、"/>
      <w:lvlJc w:val="left"/>
    </w:lvl>
  </w:abstractNum>
  <w:abstractNum w:abstractNumId="2">
    <w:nsid w:val="00000002"/>
    <w:multiLevelType w:val="multilevel"/>
    <w:tmpl w:val="00000002"/>
    <w:lvl w:ilvl="0" w:tentative="1">
      <w:start w:val="10"/>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00000001"/>
    <w:multiLevelType w:val="singleLevel"/>
    <w:tmpl w:val="00000001"/>
    <w:lvl w:ilvl="0" w:tentative="1">
      <w:start w:val="1"/>
      <w:numFmt w:val="decimal"/>
      <w:suff w:val="nothing"/>
      <w:lvlText w:val="%1、"/>
      <w:lvlJc w:val="left"/>
      <w:rPr>
        <w:rFonts w:cs="Times New Roman"/>
      </w:rPr>
    </w:lvl>
  </w:abstractNum>
  <w:num w:numId="1">
    <w:abstractNumId w:val="1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1F5954"/>
    <w:rsid w:val="10652D0E"/>
    <w:rsid w:val="18A70482"/>
    <w:rsid w:val="25B672D7"/>
    <w:rsid w:val="2E3D3EC0"/>
    <w:rsid w:val="344764C5"/>
    <w:rsid w:val="5B43667C"/>
    <w:rsid w:val="68AE57C9"/>
    <w:rsid w:val="7F297F2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spacing w:line="1300" w:lineRule="exact"/>
      <w:ind w:left="840" w:leftChars="400"/>
    </w:pPr>
    <w:rPr>
      <w:szCs w:val="22"/>
    </w:rPr>
  </w:style>
  <w:style w:type="paragraph" w:styleId="3">
    <w:name w:val="footer"/>
    <w:basedOn w:val="1"/>
    <w:link w:val="10"/>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styleId="5">
    <w:name w:val="toc 4"/>
    <w:basedOn w:val="1"/>
    <w:next w:val="1"/>
    <w:qFormat/>
    <w:uiPriority w:val="0"/>
    <w:pPr>
      <w:spacing w:line="1300" w:lineRule="exact"/>
      <w:ind w:left="1260" w:leftChars="600"/>
    </w:pPr>
    <w:rPr>
      <w:szCs w:val="22"/>
    </w:rPr>
  </w:style>
  <w:style w:type="paragraph" w:styleId="6">
    <w:name w:val="toc 2"/>
    <w:basedOn w:val="1"/>
    <w:next w:val="1"/>
    <w:qFormat/>
    <w:uiPriority w:val="0"/>
    <w:pPr>
      <w:spacing w:line="1300" w:lineRule="exact"/>
      <w:ind w:left="420" w:leftChars="200"/>
    </w:pPr>
    <w:rPr>
      <w:szCs w:val="22"/>
    </w:rPr>
  </w:style>
  <w:style w:type="character" w:styleId="8">
    <w:name w:val="Hyperlink"/>
    <w:basedOn w:val="7"/>
    <w:qFormat/>
    <w:uiPriority w:val="0"/>
    <w:rPr>
      <w:color w:val="0000FF"/>
      <w:u w:val="single"/>
    </w:rPr>
  </w:style>
  <w:style w:type="character" w:customStyle="1" w:styleId="10">
    <w:name w:val="页脚 Char"/>
    <w:basedOn w:val="7"/>
    <w:link w:val="3"/>
    <w:semiHidden/>
    <w:qFormat/>
    <w:uiPriority w:val="0"/>
    <w:rPr>
      <w:rFonts w:cs="Times New Roman"/>
      <w:kern w:val="2"/>
      <w:sz w:val="18"/>
      <w:szCs w:val="18"/>
    </w:rPr>
  </w:style>
  <w:style w:type="character" w:customStyle="1" w:styleId="11">
    <w:name w:val="页眉 Char"/>
    <w:basedOn w:val="7"/>
    <w:link w:val="4"/>
    <w:semiHidden/>
    <w:qFormat/>
    <w:uiPriority w:val="0"/>
    <w:rPr>
      <w:rFonts w:cs="Times New Roman"/>
      <w:kern w:val="2"/>
      <w:sz w:val="18"/>
      <w:szCs w:val="18"/>
    </w:rPr>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List Paragraph1"/>
    <w:basedOn w:val="1"/>
    <w:qFormat/>
    <w:uiPriority w:val="0"/>
    <w:pPr>
      <w:ind w:firstLine="420" w:firstLineChars="200"/>
    </w:pPr>
  </w:style>
  <w:style w:type="paragraph" w:customStyle="1" w:styleId="1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5">
    <w:name w:val="List Paragraph"/>
    <w:basedOn w:val="1"/>
    <w:qFormat/>
    <w:uiPriority w:val="0"/>
    <w:pPr>
      <w:ind w:firstLine="420" w:firstLineChars="200"/>
    </w:pPr>
  </w:style>
  <w:style w:type="character" w:customStyle="1" w:styleId="16">
    <w:name w:val="page number"/>
    <w:basedOn w:val="7"/>
    <w:qFormat/>
    <w:uiPriority w:val="0"/>
  </w:style>
  <w:style w:type="character" w:customStyle="1" w:styleId="17">
    <w:name w:val="apple-converted-space"/>
    <w:basedOn w:val="7"/>
    <w:qFormat/>
    <w:uiPriority w:val="0"/>
    <w:rPr>
      <w:rFonts w:cs="Times New Roman"/>
    </w:rPr>
  </w:style>
  <w:style w:type="character" w:customStyle="1" w:styleId="18">
    <w:name w:val="fontstyle11"/>
    <w:basedOn w:val="7"/>
    <w:qFormat/>
    <w:uiPriority w:val="0"/>
    <w:rPr>
      <w:rFonts w:ascii="仿宋" w:hAnsi="仿宋" w:eastAsia="仿宋" w:cs="仿宋"/>
      <w:color w:val="000000"/>
      <w:sz w:val="32"/>
      <w:szCs w:val="32"/>
    </w:rPr>
  </w:style>
  <w:style w:type="character" w:customStyle="1" w:styleId="19">
    <w:name w:val="fontstyle41"/>
    <w:basedOn w:val="7"/>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16651</Words>
  <Characters>7707</Characters>
  <Lines>64</Lines>
  <Paragraphs>48</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2021-03-05T14:29:00Z</dcterms:created>
  <dc:creator>Administrator</dc:creator>
  <cp:lastModifiedBy>Administrator</cp:lastModifiedBy>
  <cp:lastPrinted>2021-02-26T13:42:00Z</cp:lastPrinted>
  <dcterms:modified xsi:type="dcterms:W3CDTF">2021-05-17T02:35:50Z</dcterms:modified>
  <dc:title>清苑区环境保护局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