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ind w:left="638" w:leftChars="304" w:firstLine="0" w:firstLineChars="0"/>
        <w:jc w:val="center"/>
        <w:rPr>
          <w:rFonts w:hint="eastAsia" w:ascii="宋体" w:hAnsi="宋体" w:cs="黑体"/>
          <w:b/>
          <w:sz w:val="44"/>
          <w:szCs w:val="44"/>
        </w:rPr>
      </w:pPr>
      <w:r>
        <w:rPr>
          <w:rFonts w:hint="eastAsia" w:ascii="宋体" w:hAnsi="宋体" w:cs="黑体"/>
          <w:b/>
          <w:sz w:val="44"/>
          <w:szCs w:val="44"/>
        </w:rPr>
        <w:t>白沟镇综合文化服务中心</w:t>
      </w:r>
    </w:p>
    <w:p>
      <w:pPr>
        <w:spacing w:after="312" w:afterLines="100" w:line="560" w:lineRule="exact"/>
        <w:ind w:left="638" w:leftChars="304" w:firstLine="0" w:firstLineChars="0"/>
        <w:jc w:val="center"/>
        <w:rPr>
          <w:rFonts w:ascii="宋体"/>
          <w:b/>
          <w:sz w:val="44"/>
          <w:szCs w:val="44"/>
        </w:rPr>
      </w:pPr>
      <w:r>
        <w:rPr>
          <w:rFonts w:hint="eastAsia" w:ascii="宋体" w:hAnsi="宋体"/>
          <w:b/>
          <w:sz w:val="44"/>
          <w:szCs w:val="44"/>
          <w:lang w:eastAsia="zh-CN"/>
        </w:rPr>
        <w:t>2021年</w:t>
      </w:r>
      <w:r>
        <w:rPr>
          <w:rFonts w:hint="eastAsia" w:ascii="宋体" w:hAnsi="宋体"/>
          <w:b/>
          <w:sz w:val="44"/>
          <w:szCs w:val="44"/>
        </w:rPr>
        <w:t>单位预算信息公开</w:t>
      </w:r>
    </w:p>
    <w:p>
      <w:pPr>
        <w:spacing w:line="560" w:lineRule="exact"/>
        <w:ind w:firstLine="640" w:firstLineChars="200"/>
        <w:jc w:val="left"/>
        <w:rPr>
          <w:rFonts w:ascii="仿宋" w:hAnsi="仿宋" w:eastAsia="仿宋" w:cs="仿宋_GB2312"/>
          <w:sz w:val="32"/>
          <w:szCs w:val="32"/>
        </w:rPr>
      </w:pPr>
    </w:p>
    <w:p>
      <w:pPr>
        <w:spacing w:line="56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按照《预算法》规定，现将白沟镇综合文化服务中心</w:t>
      </w:r>
      <w:r>
        <w:rPr>
          <w:rFonts w:hint="eastAsia" w:ascii="仿宋" w:hAnsi="仿宋" w:eastAsia="仿宋" w:cs="仿宋_GB2312"/>
          <w:sz w:val="32"/>
          <w:szCs w:val="32"/>
          <w:lang w:eastAsia="zh-CN"/>
        </w:rPr>
        <w:t>2021年</w:t>
      </w:r>
      <w:r>
        <w:rPr>
          <w:rFonts w:hint="eastAsia" w:ascii="仿宋" w:hAnsi="仿宋" w:eastAsia="仿宋" w:cs="仿宋_GB2312"/>
          <w:sz w:val="32"/>
          <w:szCs w:val="32"/>
        </w:rPr>
        <w:t>单位预算公开如下：</w:t>
      </w:r>
    </w:p>
    <w:p>
      <w:pPr>
        <w:spacing w:line="56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单位职责及机构设置情况</w:t>
      </w:r>
    </w:p>
    <w:p>
      <w:pPr>
        <w:numPr>
          <w:ilvl w:val="0"/>
          <w:numId w:val="1"/>
        </w:numPr>
        <w:spacing w:line="560" w:lineRule="exact"/>
        <w:ind w:firstLine="643" w:firstLineChars="200"/>
        <w:rPr>
          <w:rFonts w:ascii="宋体" w:cs="宋体"/>
          <w:b/>
          <w:sz w:val="32"/>
          <w:szCs w:val="32"/>
        </w:rPr>
      </w:pPr>
      <w:r>
        <w:rPr>
          <w:rFonts w:hint="eastAsia" w:ascii="宋体" w:hAnsi="宋体" w:cs="宋体"/>
          <w:b/>
          <w:sz w:val="32"/>
          <w:szCs w:val="32"/>
        </w:rPr>
        <w:t>单位职责</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白沟镇综合文化服务中心主要负责履行辖区宣传文化体育，精神文明网站广播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pPr>
        <w:numPr>
          <w:ilvl w:val="0"/>
          <w:numId w:val="1"/>
        </w:numPr>
        <w:spacing w:line="56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4998" w:type="pct"/>
        <w:tblInd w:w="0" w:type="dxa"/>
        <w:tblLayout w:type="autofit"/>
        <w:tblCellMar>
          <w:top w:w="0" w:type="dxa"/>
          <w:left w:w="108" w:type="dxa"/>
          <w:bottom w:w="0" w:type="dxa"/>
          <w:right w:w="108" w:type="dxa"/>
        </w:tblCellMar>
      </w:tblPr>
      <w:tblGrid>
        <w:gridCol w:w="1010"/>
        <w:gridCol w:w="3108"/>
        <w:gridCol w:w="1998"/>
        <w:gridCol w:w="2307"/>
        <w:gridCol w:w="2289"/>
      </w:tblGrid>
      <w:tr>
        <w:tblPrEx>
          <w:tblCellMar>
            <w:top w:w="0" w:type="dxa"/>
            <w:left w:w="108" w:type="dxa"/>
            <w:bottom w:w="0" w:type="dxa"/>
            <w:right w:w="108" w:type="dxa"/>
          </w:tblCellMar>
        </w:tblPrEx>
        <w:trPr>
          <w:trHeight w:val="720" w:hRule="atLeast"/>
        </w:trPr>
        <w:tc>
          <w:tcPr>
            <w:tcW w:w="471"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450"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932"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位性质</w:t>
            </w:r>
          </w:p>
        </w:tc>
        <w:tc>
          <w:tcPr>
            <w:tcW w:w="1076"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068" w:type="pct"/>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CellMar>
            <w:top w:w="0" w:type="dxa"/>
            <w:left w:w="108" w:type="dxa"/>
            <w:bottom w:w="0" w:type="dxa"/>
            <w:right w:w="108" w:type="dxa"/>
          </w:tblCellMar>
        </w:tblPrEx>
        <w:trPr>
          <w:trHeight w:val="56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color w:val="000000"/>
                <w:kern w:val="0"/>
                <w:sz w:val="24"/>
              </w:rPr>
            </w:pPr>
          </w:p>
        </w:tc>
        <w:tc>
          <w:tcPr>
            <w:tcW w:w="1450" w:type="pct"/>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color w:val="000000"/>
                <w:kern w:val="0"/>
                <w:sz w:val="24"/>
              </w:rPr>
            </w:pPr>
          </w:p>
        </w:tc>
        <w:tc>
          <w:tcPr>
            <w:tcW w:w="932" w:type="pct"/>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color w:val="000000"/>
                <w:kern w:val="0"/>
                <w:sz w:val="24"/>
              </w:rPr>
            </w:pPr>
          </w:p>
        </w:tc>
        <w:tc>
          <w:tcPr>
            <w:tcW w:w="1076" w:type="pct"/>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color w:val="000000"/>
                <w:kern w:val="0"/>
                <w:sz w:val="24"/>
              </w:rPr>
            </w:pPr>
          </w:p>
        </w:tc>
        <w:tc>
          <w:tcPr>
            <w:tcW w:w="1068" w:type="pct"/>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720" w:hRule="atLeast"/>
        </w:trPr>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450"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白沟镇综合文化服务中心</w:t>
            </w:r>
          </w:p>
        </w:tc>
        <w:tc>
          <w:tcPr>
            <w:tcW w:w="932"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事业</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kern w:val="0"/>
                <w:sz w:val="24"/>
              </w:rPr>
            </w:pPr>
          </w:p>
        </w:tc>
        <w:tc>
          <w:tcPr>
            <w:tcW w:w="1068"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财政全额补助</w:t>
            </w:r>
          </w:p>
        </w:tc>
      </w:tr>
    </w:tbl>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第二部分：单位预算安排的总体情况</w:t>
      </w:r>
    </w:p>
    <w:p>
      <w:pPr>
        <w:numPr>
          <w:ilvl w:val="0"/>
          <w:numId w:val="2"/>
        </w:numPr>
        <w:spacing w:line="56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年初单位收入预算总额</w:t>
      </w:r>
      <w:r>
        <w:rPr>
          <w:rFonts w:hint="eastAsia" w:ascii="仿宋" w:hAnsi="仿宋" w:eastAsia="仿宋" w:cs="仿宋_GB2312"/>
          <w:sz w:val="32"/>
          <w:szCs w:val="32"/>
          <w:lang w:val="en-US" w:eastAsia="zh-CN"/>
        </w:rPr>
        <w:t>1723.54</w:t>
      </w:r>
      <w:r>
        <w:rPr>
          <w:rFonts w:hint="eastAsia" w:ascii="仿宋" w:hAnsi="仿宋" w:eastAsia="仿宋" w:cs="仿宋_GB2312"/>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98.13</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4.24</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1621.07</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2021年</w:t>
      </w:r>
      <w:r>
        <w:rPr>
          <w:rFonts w:hint="eastAsia" w:ascii="仿宋" w:hAnsi="仿宋" w:eastAsia="仿宋" w:cs="仿宋_GB2312"/>
          <w:sz w:val="32"/>
          <w:szCs w:val="32"/>
        </w:rPr>
        <w:t>单位支出安排预算总额</w:t>
      </w:r>
      <w:r>
        <w:rPr>
          <w:rFonts w:hint="eastAsia" w:ascii="仿宋" w:hAnsi="仿宋" w:eastAsia="仿宋" w:cs="仿宋_GB2312"/>
          <w:sz w:val="32"/>
          <w:szCs w:val="32"/>
          <w:lang w:val="en-US" w:eastAsia="zh-CN"/>
        </w:rPr>
        <w:t>1723.54</w:t>
      </w:r>
      <w:r>
        <w:rPr>
          <w:rFonts w:hint="eastAsia" w:ascii="仿宋" w:hAnsi="仿宋" w:eastAsia="仿宋" w:cs="仿宋_GB2312"/>
          <w:sz w:val="32"/>
          <w:szCs w:val="32"/>
        </w:rPr>
        <w:t>万元。</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102.37</w:t>
      </w:r>
      <w:r>
        <w:rPr>
          <w:rFonts w:hint="eastAsia" w:ascii="仿宋" w:hAnsi="仿宋" w:eastAsia="仿宋" w:cs="仿宋_GB2312"/>
          <w:sz w:val="32"/>
          <w:szCs w:val="32"/>
        </w:rPr>
        <w:t>万元</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其中：人员经费</w:t>
      </w:r>
      <w:r>
        <w:rPr>
          <w:rFonts w:hint="eastAsia" w:ascii="仿宋" w:hAnsi="仿宋" w:eastAsia="仿宋" w:cs="仿宋_GB2312"/>
          <w:sz w:val="32"/>
          <w:szCs w:val="32"/>
          <w:lang w:val="en-US" w:eastAsia="zh-CN"/>
        </w:rPr>
        <w:t>98.13</w:t>
      </w:r>
      <w:r>
        <w:rPr>
          <w:rFonts w:hint="eastAsia" w:ascii="仿宋" w:hAnsi="仿宋" w:eastAsia="仿宋" w:cs="仿宋_GB2312"/>
          <w:sz w:val="32"/>
          <w:szCs w:val="32"/>
        </w:rPr>
        <w:t>万元</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日常公用经费</w:t>
      </w:r>
      <w:r>
        <w:rPr>
          <w:rFonts w:hint="eastAsia" w:ascii="仿宋" w:hAnsi="仿宋" w:eastAsia="仿宋" w:cs="仿宋_GB2312"/>
          <w:sz w:val="32"/>
          <w:szCs w:val="32"/>
          <w:lang w:val="en-US" w:eastAsia="zh-CN"/>
        </w:rPr>
        <w:t>4.24</w:t>
      </w:r>
      <w:r>
        <w:rPr>
          <w:rFonts w:hint="eastAsia" w:ascii="仿宋" w:hAnsi="仿宋" w:eastAsia="仿宋" w:cs="仿宋_GB2312"/>
          <w:sz w:val="32"/>
          <w:szCs w:val="32"/>
        </w:rPr>
        <w:t>万元</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1621.07</w:t>
      </w:r>
      <w:r>
        <w:rPr>
          <w:rFonts w:hint="eastAsia" w:ascii="仿宋" w:hAnsi="仿宋" w:eastAsia="仿宋" w:cs="仿宋_GB2312"/>
          <w:sz w:val="32"/>
          <w:szCs w:val="32"/>
        </w:rPr>
        <w:t>万元</w:t>
      </w:r>
    </w:p>
    <w:p>
      <w:pPr>
        <w:spacing w:line="560" w:lineRule="exact"/>
        <w:ind w:firstLine="640" w:firstLineChars="200"/>
        <w:jc w:val="left"/>
        <w:rPr>
          <w:rFonts w:ascii="仿宋" w:hAnsi="仿宋" w:eastAsia="仿宋"/>
          <w:sz w:val="32"/>
          <w:szCs w:val="32"/>
        </w:rPr>
      </w:pPr>
      <w:r>
        <w:rPr>
          <w:rFonts w:hint="eastAsia" w:ascii="仿宋" w:hAnsi="仿宋" w:eastAsia="仿宋" w:cs="仿宋_GB2312"/>
          <w:sz w:val="32"/>
          <w:szCs w:val="32"/>
        </w:rPr>
        <w:t>其中：本级支出</w:t>
      </w:r>
      <w:r>
        <w:rPr>
          <w:rFonts w:hint="eastAsia" w:ascii="仿宋" w:hAnsi="仿宋" w:eastAsia="仿宋" w:cs="仿宋_GB2312"/>
          <w:sz w:val="32"/>
          <w:szCs w:val="32"/>
          <w:lang w:val="en-US" w:eastAsia="zh-CN"/>
        </w:rPr>
        <w:t>1621.07</w:t>
      </w:r>
      <w:r>
        <w:rPr>
          <w:rFonts w:hint="eastAsia" w:ascii="仿宋" w:hAnsi="仿宋" w:eastAsia="仿宋" w:cs="仿宋_GB2312"/>
          <w:sz w:val="32"/>
          <w:szCs w:val="32"/>
        </w:rPr>
        <w:t>万</w:t>
      </w:r>
      <w:r>
        <w:rPr>
          <w:rFonts w:hint="eastAsia" w:ascii="仿宋" w:hAnsi="仿宋" w:eastAsia="仿宋"/>
          <w:sz w:val="32"/>
          <w:szCs w:val="32"/>
        </w:rPr>
        <w:t>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1723.54</w:t>
      </w:r>
      <w:r>
        <w:rPr>
          <w:rFonts w:hint="eastAsia" w:ascii="仿宋" w:hAnsi="仿宋" w:eastAsia="仿宋"/>
          <w:sz w:val="32"/>
          <w:szCs w:val="32"/>
        </w:rPr>
        <w:t>万元，较上年增加</w:t>
      </w:r>
      <w:r>
        <w:rPr>
          <w:rFonts w:hint="eastAsia" w:ascii="仿宋" w:hAnsi="仿宋" w:eastAsia="仿宋"/>
          <w:sz w:val="32"/>
          <w:szCs w:val="32"/>
          <w:lang w:val="en-US" w:eastAsia="zh-CN"/>
        </w:rPr>
        <w:t>174.52</w:t>
      </w:r>
      <w:r>
        <w:rPr>
          <w:rFonts w:hint="eastAsia" w:ascii="仿宋" w:hAnsi="仿宋" w:eastAsia="仿宋"/>
          <w:sz w:val="32"/>
          <w:szCs w:val="32"/>
        </w:rPr>
        <w:t>万元。增减原因：上级交办的各项工作任务</w:t>
      </w:r>
      <w:r>
        <w:rPr>
          <w:rFonts w:hint="eastAsia" w:ascii="仿宋" w:hAnsi="仿宋" w:eastAsia="仿宋"/>
          <w:sz w:val="32"/>
          <w:szCs w:val="32"/>
          <w:lang w:val="en-US" w:eastAsia="zh-CN"/>
        </w:rPr>
        <w:t>增加</w:t>
      </w:r>
      <w:r>
        <w:rPr>
          <w:rFonts w:hint="eastAsia" w:ascii="仿宋" w:hAnsi="仿宋" w:eastAsia="仿宋"/>
          <w:sz w:val="32"/>
          <w:szCs w:val="32"/>
        </w:rPr>
        <w:t>，相应的增加项目支出。主要今年增加了</w:t>
      </w:r>
      <w:r>
        <w:rPr>
          <w:rFonts w:hint="eastAsia" w:ascii="仿宋" w:hAnsi="仿宋" w:eastAsia="仿宋"/>
          <w:sz w:val="32"/>
          <w:szCs w:val="32"/>
          <w:lang w:val="en-US" w:eastAsia="zh-CN"/>
        </w:rPr>
        <w:t>宣传费用及软件正版化</w:t>
      </w:r>
      <w:r>
        <w:rPr>
          <w:rFonts w:hint="eastAsia" w:ascii="仿宋" w:hAnsi="仿宋" w:eastAsia="仿宋"/>
          <w:sz w:val="32"/>
          <w:szCs w:val="32"/>
        </w:rPr>
        <w:t>项目等支出。</w:t>
      </w:r>
    </w:p>
    <w:p>
      <w:pPr>
        <w:autoSpaceDE w:val="0"/>
        <w:autoSpaceDN w:val="0"/>
        <w:adjustRightInd w:val="0"/>
        <w:spacing w:line="56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我单位机关运行经费安排资金</w:t>
      </w:r>
      <w:r>
        <w:rPr>
          <w:rFonts w:hint="eastAsia" w:ascii="仿宋" w:hAnsi="仿宋" w:eastAsia="仿宋"/>
          <w:sz w:val="32"/>
          <w:szCs w:val="32"/>
          <w:lang w:val="en-US" w:eastAsia="zh-CN"/>
        </w:rPr>
        <w:t>4.24</w:t>
      </w:r>
      <w:r>
        <w:rPr>
          <w:rFonts w:hint="eastAsia" w:ascii="仿宋" w:hAnsi="仿宋" w:eastAsia="仿宋"/>
          <w:sz w:val="32"/>
          <w:szCs w:val="32"/>
        </w:rPr>
        <w:t>万元，其中办公费</w:t>
      </w:r>
      <w:r>
        <w:rPr>
          <w:rFonts w:hint="eastAsia" w:ascii="仿宋" w:hAnsi="仿宋" w:eastAsia="仿宋"/>
          <w:sz w:val="32"/>
          <w:szCs w:val="32"/>
          <w:lang w:val="en-US" w:eastAsia="zh-CN"/>
        </w:rPr>
        <w:t>2.1</w:t>
      </w:r>
      <w:r>
        <w:rPr>
          <w:rFonts w:hint="eastAsia" w:ascii="仿宋" w:hAnsi="仿宋" w:eastAsia="仿宋"/>
          <w:sz w:val="32"/>
          <w:szCs w:val="32"/>
        </w:rPr>
        <w:t>万元，</w:t>
      </w:r>
      <w:r>
        <w:rPr>
          <w:rFonts w:hint="eastAsia" w:ascii="仿宋" w:hAnsi="仿宋" w:eastAsia="仿宋"/>
          <w:sz w:val="32"/>
          <w:szCs w:val="32"/>
          <w:lang w:val="en-US" w:eastAsia="zh-CN"/>
        </w:rPr>
        <w:t>维护费</w:t>
      </w:r>
      <w:r>
        <w:rPr>
          <w:rFonts w:hint="eastAsia" w:ascii="仿宋" w:hAnsi="仿宋" w:eastAsia="仿宋"/>
          <w:sz w:val="32"/>
          <w:szCs w:val="32"/>
        </w:rPr>
        <w:t>0.</w:t>
      </w:r>
      <w:r>
        <w:rPr>
          <w:rFonts w:hint="eastAsia" w:ascii="仿宋" w:hAnsi="仿宋" w:eastAsia="仿宋"/>
          <w:sz w:val="32"/>
          <w:szCs w:val="32"/>
          <w:lang w:val="en-US" w:eastAsia="zh-CN"/>
        </w:rPr>
        <w:t>1</w:t>
      </w:r>
      <w:r>
        <w:rPr>
          <w:rFonts w:hint="eastAsia" w:ascii="仿宋" w:hAnsi="仿宋" w:eastAsia="仿宋"/>
          <w:sz w:val="32"/>
          <w:szCs w:val="32"/>
        </w:rPr>
        <w:t>万元，差旅费0.</w:t>
      </w:r>
      <w:r>
        <w:rPr>
          <w:rFonts w:hint="eastAsia" w:ascii="仿宋" w:hAnsi="仿宋" w:eastAsia="仿宋"/>
          <w:sz w:val="32"/>
          <w:szCs w:val="32"/>
          <w:lang w:val="en-US" w:eastAsia="zh-CN"/>
        </w:rPr>
        <w:t>4</w:t>
      </w:r>
      <w:r>
        <w:rPr>
          <w:rFonts w:hint="eastAsia" w:ascii="仿宋" w:hAnsi="仿宋" w:eastAsia="仿宋"/>
          <w:sz w:val="32"/>
          <w:szCs w:val="32"/>
        </w:rPr>
        <w:t>万元。工会经费</w:t>
      </w:r>
      <w:r>
        <w:rPr>
          <w:rFonts w:hint="eastAsia" w:ascii="仿宋" w:hAnsi="仿宋" w:eastAsia="仿宋"/>
          <w:sz w:val="32"/>
          <w:szCs w:val="32"/>
          <w:lang w:val="en-US" w:eastAsia="zh-CN"/>
        </w:rPr>
        <w:t>0.79</w:t>
      </w:r>
      <w:r>
        <w:rPr>
          <w:rFonts w:hint="eastAsia" w:ascii="仿宋" w:hAnsi="仿宋" w:eastAsia="仿宋"/>
          <w:sz w:val="32"/>
          <w:szCs w:val="32"/>
        </w:rPr>
        <w:t>万元，福利费</w:t>
      </w:r>
      <w:r>
        <w:rPr>
          <w:rFonts w:hint="eastAsia" w:ascii="仿宋" w:hAnsi="仿宋" w:eastAsia="仿宋"/>
          <w:sz w:val="32"/>
          <w:szCs w:val="32"/>
          <w:lang w:val="en-US" w:eastAsia="zh-CN"/>
        </w:rPr>
        <w:t>0.8</w:t>
      </w:r>
      <w:r>
        <w:rPr>
          <w:rFonts w:hint="eastAsia" w:ascii="仿宋" w:hAnsi="仿宋" w:eastAsia="仿宋"/>
          <w:sz w:val="32"/>
          <w:szCs w:val="32"/>
        </w:rPr>
        <w:t>万元，党组织活动费0.0</w:t>
      </w:r>
      <w:r>
        <w:rPr>
          <w:rFonts w:hint="eastAsia" w:ascii="仿宋" w:hAnsi="仿宋" w:eastAsia="仿宋"/>
          <w:sz w:val="32"/>
          <w:szCs w:val="32"/>
          <w:lang w:val="en-US" w:eastAsia="zh-CN"/>
        </w:rPr>
        <w:t>5</w:t>
      </w:r>
      <w:r>
        <w:rPr>
          <w:rFonts w:hint="eastAsia" w:ascii="仿宋" w:hAnsi="仿宋" w:eastAsia="仿宋"/>
          <w:sz w:val="32"/>
          <w:szCs w:val="32"/>
        </w:rPr>
        <w:t>万元</w:t>
      </w:r>
    </w:p>
    <w:p>
      <w:pPr>
        <w:autoSpaceDE w:val="0"/>
        <w:autoSpaceDN w:val="0"/>
        <w:adjustRightInd w:val="0"/>
        <w:spacing w:line="560" w:lineRule="exact"/>
        <w:ind w:firstLine="640"/>
        <w:jc w:val="center"/>
        <w:rPr>
          <w:rFonts w:ascii="黑体" w:hAnsi="黑体" w:eastAsia="黑体" w:cs="仿宋"/>
          <w:b/>
          <w:sz w:val="32"/>
          <w:szCs w:val="32"/>
        </w:rPr>
      </w:pPr>
    </w:p>
    <w:p>
      <w:pPr>
        <w:autoSpaceDE w:val="0"/>
        <w:autoSpaceDN w:val="0"/>
        <w:adjustRightInd w:val="0"/>
        <w:spacing w:line="560" w:lineRule="exact"/>
        <w:ind w:firstLine="640"/>
        <w:jc w:val="center"/>
        <w:rPr>
          <w:rFonts w:hint="eastAsia" w:ascii="黑体" w:hAnsi="黑体" w:eastAsia="黑体" w:cs="仿宋"/>
          <w:b/>
          <w:sz w:val="32"/>
          <w:szCs w:val="32"/>
        </w:rPr>
      </w:pPr>
      <w:r>
        <w:rPr>
          <w:rFonts w:hint="eastAsia" w:ascii="黑体" w:hAnsi="黑体" w:eastAsia="黑体" w:cs="仿宋"/>
          <w:b/>
          <w:sz w:val="32"/>
          <w:szCs w:val="32"/>
        </w:rPr>
        <w:t>第四部分：财政拨款“三公”经费预算情况及</w:t>
      </w:r>
    </w:p>
    <w:p>
      <w:pPr>
        <w:autoSpaceDE w:val="0"/>
        <w:autoSpaceDN w:val="0"/>
        <w:adjustRightInd w:val="0"/>
        <w:spacing w:line="560" w:lineRule="exact"/>
        <w:ind w:firstLine="640"/>
        <w:jc w:val="center"/>
        <w:rPr>
          <w:rFonts w:ascii="黑体" w:hAnsi="黑体" w:eastAsia="黑体" w:cs="仿宋"/>
          <w:b/>
          <w:sz w:val="32"/>
          <w:szCs w:val="32"/>
        </w:rPr>
      </w:pPr>
      <w:r>
        <w:rPr>
          <w:rFonts w:hint="eastAsia" w:ascii="黑体" w:hAnsi="黑体" w:eastAsia="黑体" w:cs="仿宋"/>
          <w:b/>
          <w:sz w:val="32"/>
          <w:szCs w:val="32"/>
        </w:rPr>
        <w:t>增减变化原因</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我单位预算“三公经费”5万元，其中培训费5万元，同期相比，比去年增加预算5万元。主要用于基层文化体育人才队伍培训。</w:t>
      </w:r>
    </w:p>
    <w:p>
      <w:pPr>
        <w:autoSpaceDE w:val="0"/>
        <w:autoSpaceDN w:val="0"/>
        <w:adjustRightIn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第五部分：绩效预算信息</w:t>
      </w:r>
    </w:p>
    <w:p>
      <w:pPr>
        <w:numPr>
          <w:ilvl w:val="0"/>
          <w:numId w:val="3"/>
        </w:numPr>
        <w:spacing w:line="560" w:lineRule="exact"/>
        <w:ind w:firstLine="640" w:firstLineChars="200"/>
        <w:jc w:val="left"/>
        <w:outlineLvl w:val="1"/>
        <w:rPr>
          <w:rFonts w:hint="eastAsia" w:ascii="黑体" w:hAnsi="黑体" w:eastAsia="黑体"/>
          <w:sz w:val="32"/>
          <w:szCs w:val="32"/>
        </w:rPr>
      </w:pPr>
      <w:r>
        <w:rPr>
          <w:rFonts w:hint="eastAsia" w:ascii="黑体" w:hAnsi="黑体" w:eastAsia="黑体"/>
          <w:sz w:val="32"/>
          <w:szCs w:val="32"/>
        </w:rPr>
        <w:t>单位整体绩效目标</w:t>
      </w:r>
    </w:p>
    <w:p>
      <w:pPr>
        <w:spacing w:line="560" w:lineRule="exact"/>
        <w:ind w:left="640"/>
        <w:jc w:val="left"/>
        <w:outlineLvl w:val="1"/>
        <w:rPr>
          <w:rFonts w:ascii="黑体" w:hAnsi="黑体" w:eastAsia="黑体"/>
          <w:b/>
          <w:sz w:val="32"/>
          <w:szCs w:val="32"/>
        </w:rPr>
      </w:pPr>
      <w:r>
        <w:rPr>
          <w:rFonts w:hint="eastAsia" w:ascii="楷体" w:hAnsi="楷体" w:eastAsia="楷体"/>
          <w:b/>
          <w:sz w:val="32"/>
          <w:szCs w:val="32"/>
        </w:rPr>
        <w:t>（一）总体绩效目标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，白沟镇综合文化服务中心</w:t>
      </w:r>
      <w:r>
        <w:rPr>
          <w:rFonts w:hint="eastAsia" w:ascii="仿宋" w:hAnsi="仿宋" w:eastAsia="仿宋"/>
          <w:sz w:val="32"/>
          <w:szCs w:val="32"/>
          <w:lang w:val="en-US" w:eastAsia="zh-CN"/>
        </w:rPr>
        <w:t>将着</w:t>
      </w:r>
      <w:r>
        <w:rPr>
          <w:rFonts w:hint="eastAsia" w:ascii="仿宋" w:hAnsi="仿宋" w:eastAsia="仿宋"/>
          <w:sz w:val="32"/>
          <w:szCs w:val="32"/>
        </w:rPr>
        <w:t>力抓好以下几个方面工作：贯彻落实党中央、省委和市委关于宣传思想文化工作的方针政策和决策部署，拟定全区宣传思想文化工作总体规划，统筹协调推进宣传思想文化领域法治建设，按照我区统一部署，协调宣传思想文化系统各部门之间的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1.统筹指导协调全区理论研究、理论学习、理论宣传和理论队伍建设工作，组织推动理论武装工作。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2.负责规划组织全区思想政治教育工作，负责爱国主义教育和国防教育工作，配合组织部做好党员教育工作，会同有关部门研究和改进群众思想政治工作，指导企业思想文化建设。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3.负责引导社会舆论，把握正确导向，指导协调全区新闻宣传工作，在政治方向和方针、政策方面实行领导。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4.统筹指导协调互联网宣传和内容管理工作。统筹协调新媒体的建设与管理。统筹指导协调县融媒体中心建设。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5.统筹指导协调推进全区精神文化产品的创作与生产，协调组织中华优秀传统文化传承发展有关工作，指导协调推动群众文化建设。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6.对新闻出版、广播影视、文化艺术改革发展研究提出政策性建议，统筹协调全区文化体制改革、文化事业与旅游业发展，制定扶持文化和旅游产业发展的政策措施。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统筹协调全区对外宣传工作，指导协调有关部门研究拟定对外宣传工作规划。统筹对外传播能力建设，指导对外文化交流工作，协调推动中华文化走出去工作。指导协调全区新闻发布工作，协调并会同有关部门做好境外来访记者的服务引导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8.对网络信息管理中心互联网宣传和信息内容管理方面的工作实施方针、政策的指导。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9.承担全区文化产业发展的牵头和考核工作，承担主体责任，每年向县委专题汇报文化产业发展情况。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0.负责制定全区精神文明建设规划实施意见和方案，做好精神文明建设业务方面的联络沟通、服务保障、督查督办、综合协调等日常业务工作。负责全区群众性精神文明创建工作和新时代文明实践中心建设工作。负责协调指导全区学雷锋志愿服务工作，推动志愿服务制度化考核评比工作，协调指导全区未成年人思想道德建设工作。牵头负责推进诚信体系建设，“讲文明树新风”公益广告，社会主义核心价值观宣传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1、贯彻党和国家有关文化、文物、体育、广播电影电视、新闻出版、版权管理（以下简称文体广新）工作的方针政策和法律法规；拟订全区文体广新工作的有关规范性文件及发展规划，并组织实施。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2、指导、推进文化、体育、广播电影电视、新闻出版领域体制改革、机制创新，推动多元化文化体育广电新闻出版服务体系建设。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3、推进文化、体育、广播电影电视、新闻出版（版权）领域的公共服务，会同有关部门统筹安排文体广新相关事业经费；规划、指导全区文化体育广电新闻出版产品生产；组织、指导、协调全区重点公共文化、体育、广播电影电视、新闻出版设施建设和基层公共文化、体育设施建设；负责指导公共图书馆、文化馆（站）、美术馆、纪念馆、体育场（馆）、博物馆等基层公共文化体育事业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4、管理全区文化、体育、艺术事业；指导、协调艺术创作与艺术生产；扶植地方性、代表性、示范性、实验性文化艺术品种和体育项目，推动各门类艺术的发展；管理、指导艺术教育事业；指导、组织、协调全区性重大文化和体育活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5、负责文化市场监管和综合执法；监管全区文体广新市场经营活动；负责对从事演艺活动的民办机构和网络游戏服务进行监管（不含网络游戏的网上出版前置审批）；承担区“扫黄打非”工作小组办公室的日常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6、统筹规划全区群众体育发展；负责推行全民健身计划，指导群众性体育活动的开展，指导区直机关、企事业单位群众体育机构和队伍建设，监督实施国家体育锻炼标准；推动国民体质监测和社会体育指导工作队伍制度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7、制定全区竞技体育发展规划，研究全区体育竞赛项目的设置与布局，组织管理体育训练、体育竞赛、运动队伍建设，协调运动员社会保障工作；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8、指导和监督全区广播电影电视事业，实施准入和退出管理；拟订全区广播电影电视发展规划；负责对全区广播电视播出机构所播出的节目内容、质量及传输、监测、播出、覆盖等进行监管；负责对从事广播电影电视节目制作的民办机构进行监管；负责对广播电影电视节目的进口和收录进行监管；指导乡镇广播影视事业建设并实施行业管理；指导、协调电信网、广播电视网、互联网融合中的相关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9、管理和指导全区电影发行、放映工作；拟订全区电影发行放映事业的发展规划和市场管理办法，并组织实施。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0、管理全区出版事业及印刷复制行业；负责对全区出版、印刷、复制、发行单位进行监管；负责对全区出版内容（包括电子出版活动、互联网出版活动等数字出版物内容）进行监管；负责全区报刊社及国内报刊社、通讯社驻本区记者站和分支机构的监管；负责全区著作权行政管理工作；负责全区软件正版化工作；根据上级新闻出版部门委托实施相关事项的管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1、管理全区非物质文化遗产保护工作，拟订非物质文化遗产保护规划并组织实施；负责优秀民族文化的传承普及工作。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2、负责对全区文物、博物馆行业的管理工作。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3、负责职责范围内对文化、体育、广电、新闻出版（版权）行业、领域的安全生产工作实施监督管理。</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（二）分项绩效目标</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目标1：抓好理论武装，推动习近平新时代中国特色社会主义思想深入人心；</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目标2：围绕国家重大决策部署，持续巩固壮大主流思想舆论；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目标3：加强社会主义核心价值观建设，培养担当民族复兴大任的时代新人；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目标4：加快文化事业和文化产业发展，更好满足人民精神文化生活新期待。</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目标5：以党的政治建设为统领，持续加强党对宣传思想工作的全面领导；</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目标6：举办全民健身活动5次；</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目标7：管理维护体育公共设施；</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目标8：普及冰雪运动，培养冰雪人才目标；</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目标9：开展多种文化活动、戏曲文化下乡10场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目标10：农村公益电影放映396场；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目标11：为33个村街更新图书；</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目标12、保护非遗项目，保护文物；</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目标13、开展全民阅读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目标14、保障老电影放映员生活补贴到位；</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目标15、开展大喇叭应急广播工程、十九大学习专区的维护；</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目标16、博物馆正常运行；</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目标17、加大旅游宣传，扩大白沟旅游的影响力；</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目标18、加强扫黄打非工作，整治文化旅游市场；</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目标19、加强舆情处理，提高舆情研判，及时处理重大应急突发事件，净化网络环境；</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（三）工作保障措施</w:t>
      </w:r>
    </w:p>
    <w:p>
      <w:pPr>
        <w:ind w:firstLine="645"/>
        <w:rPr>
          <w:rFonts w:hint="eastAsia" w:ascii="仿宋" w:hAnsi="仿宋" w:eastAsia="仿宋"/>
          <w:sz w:val="32"/>
          <w:szCs w:val="32"/>
          <w:lang w:val="en-US" w:eastAsia="zh-CN"/>
        </w:rPr>
      </w:pPr>
      <w:r>
        <w:rPr>
          <w:rFonts w:hint="eastAsia" w:ascii="仿宋" w:hAnsi="仿宋" w:eastAsia="仿宋"/>
          <w:b/>
          <w:sz w:val="32"/>
          <w:szCs w:val="32"/>
        </w:rPr>
        <w:t>（一）完善制度建设。</w:t>
      </w:r>
      <w:r>
        <w:rPr>
          <w:rFonts w:hint="eastAsia" w:ascii="仿宋" w:hAnsi="仿宋" w:eastAsia="仿宋"/>
          <w:sz w:val="32"/>
          <w:szCs w:val="32"/>
          <w:lang w:val="en-US" w:eastAsia="zh-CN"/>
        </w:rPr>
        <w:t>制定完善预算绩效管理制度、资金管理办法、工作保障制度等，为全年预算绩效目标的实现奠定制度基础。）</w:t>
      </w:r>
    </w:p>
    <w:p>
      <w:pPr>
        <w:ind w:firstLine="645"/>
        <w:rPr>
          <w:rFonts w:hint="eastAsia" w:ascii="仿宋" w:hAnsi="仿宋" w:eastAsia="仿宋"/>
          <w:b/>
          <w:sz w:val="32"/>
          <w:szCs w:val="32"/>
        </w:rPr>
      </w:pPr>
      <w:r>
        <w:rPr>
          <w:rFonts w:hint="eastAsia" w:ascii="仿宋" w:hAnsi="仿宋" w:eastAsia="仿宋"/>
          <w:b/>
          <w:sz w:val="32"/>
          <w:szCs w:val="32"/>
        </w:rPr>
        <w:t>（二）加强支出管理。</w:t>
      </w:r>
      <w:r>
        <w:rPr>
          <w:rFonts w:hint="eastAsia" w:ascii="仿宋" w:hAnsi="仿宋" w:eastAsia="仿宋"/>
          <w:sz w:val="32"/>
          <w:szCs w:val="32"/>
          <w:lang w:val="en-US" w:eastAsia="zh-CN"/>
        </w:rPr>
        <w:t>通过优化支出结构、编细编实预算、加快履行政府采购手续、尽快启动项目、及时支付资金、6月底前细化代编预算、按规定及时下达资金等多种措施，确保支出进度达标。</w:t>
      </w:r>
    </w:p>
    <w:p>
      <w:pPr>
        <w:ind w:firstLine="645"/>
        <w:rPr>
          <w:rFonts w:hint="eastAsia" w:ascii="仿宋" w:hAnsi="仿宋" w:eastAsia="仿宋"/>
          <w:sz w:val="32"/>
          <w:szCs w:val="32"/>
          <w:lang w:val="en-US" w:eastAsia="zh-CN"/>
        </w:rPr>
      </w:pPr>
      <w:r>
        <w:rPr>
          <w:rFonts w:hint="eastAsia" w:ascii="仿宋" w:hAnsi="仿宋" w:eastAsia="仿宋"/>
          <w:b/>
          <w:sz w:val="32"/>
          <w:szCs w:val="32"/>
        </w:rPr>
        <w:t>（三）加强绩效运行监控。</w:t>
      </w:r>
      <w:r>
        <w:rPr>
          <w:rFonts w:hint="eastAsia" w:ascii="仿宋" w:hAnsi="仿宋" w:eastAsia="仿宋"/>
          <w:sz w:val="32"/>
          <w:szCs w:val="32"/>
          <w:lang w:val="en-US" w:eastAsia="zh-CN"/>
        </w:rPr>
        <w:t>按要求开展绩效运行监控，发现问题及时采取措施，确保绩效目标如期保质实现。</w:t>
      </w:r>
    </w:p>
    <w:p>
      <w:pPr>
        <w:ind w:firstLine="645"/>
        <w:rPr>
          <w:rFonts w:hint="eastAsia" w:ascii="仿宋" w:hAnsi="仿宋" w:eastAsia="仿宋"/>
          <w:sz w:val="32"/>
          <w:szCs w:val="32"/>
          <w:lang w:val="en-US" w:eastAsia="zh-CN"/>
        </w:rPr>
      </w:pPr>
      <w:r>
        <w:rPr>
          <w:rFonts w:hint="eastAsia" w:ascii="仿宋" w:hAnsi="仿宋" w:eastAsia="仿宋"/>
          <w:b/>
          <w:sz w:val="32"/>
          <w:szCs w:val="32"/>
        </w:rPr>
        <w:t>（四）做好绩效自评。</w:t>
      </w:r>
      <w:r>
        <w:rPr>
          <w:rFonts w:hint="eastAsia" w:ascii="仿宋" w:hAnsi="仿宋" w:eastAsia="仿宋"/>
          <w:sz w:val="32"/>
          <w:szCs w:val="32"/>
          <w:lang w:val="en-US" w:eastAsia="zh-CN"/>
        </w:rPr>
        <w:t>按要求开展上年度部门预算绩效自评和重点评价工作，对评价中发现的问题及时整改，调整优化支出结构，提高财政资金使用效益。</w:t>
      </w:r>
    </w:p>
    <w:p>
      <w:pPr>
        <w:ind w:firstLine="645"/>
        <w:rPr>
          <w:rFonts w:hint="eastAsia" w:ascii="仿宋" w:hAnsi="仿宋" w:eastAsia="仿宋"/>
          <w:b/>
          <w:sz w:val="32"/>
          <w:szCs w:val="32"/>
        </w:rPr>
      </w:pPr>
      <w:r>
        <w:rPr>
          <w:rFonts w:hint="eastAsia" w:ascii="仿宋" w:hAnsi="仿宋" w:eastAsia="仿宋"/>
          <w:b/>
          <w:sz w:val="32"/>
          <w:szCs w:val="32"/>
        </w:rPr>
        <w:t>（五）规范财务资产管理。</w:t>
      </w:r>
      <w:r>
        <w:rPr>
          <w:rFonts w:hint="eastAsia" w:ascii="仿宋" w:hAnsi="仿宋" w:eastAsia="仿宋"/>
          <w:sz w:val="32"/>
          <w:szCs w:val="32"/>
          <w:lang w:val="en-US" w:eastAsia="zh-CN"/>
        </w:rPr>
        <w:t>完善财务管理制度，严格审批程序，加强固定资产登记、使用和报废处置管理，做到支出合理，物尽其用。</w:t>
      </w:r>
    </w:p>
    <w:p>
      <w:pPr>
        <w:ind w:firstLine="645"/>
        <w:rPr>
          <w:rFonts w:hint="eastAsia" w:ascii="仿宋" w:hAnsi="仿宋" w:eastAsia="仿宋"/>
          <w:sz w:val="32"/>
          <w:szCs w:val="32"/>
          <w:lang w:val="en-US" w:eastAsia="zh-CN"/>
        </w:rPr>
      </w:pPr>
      <w:r>
        <w:rPr>
          <w:rFonts w:hint="eastAsia" w:ascii="仿宋" w:hAnsi="仿宋" w:eastAsia="仿宋"/>
          <w:b/>
          <w:sz w:val="32"/>
          <w:szCs w:val="32"/>
        </w:rPr>
        <w:t>（六）加强内部监督。</w:t>
      </w:r>
      <w:r>
        <w:rPr>
          <w:rFonts w:hint="eastAsia" w:ascii="仿宋" w:hAnsi="仿宋" w:eastAsia="仿宋"/>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5"/>
        <w:rPr>
          <w:rFonts w:hint="eastAsia" w:ascii="仿宋" w:hAnsi="仿宋" w:eastAsia="仿宋"/>
          <w:sz w:val="32"/>
          <w:szCs w:val="32"/>
          <w:lang w:val="en-US" w:eastAsia="zh-CN"/>
        </w:rPr>
      </w:pPr>
      <w:r>
        <w:rPr>
          <w:rFonts w:hint="eastAsia" w:ascii="仿宋" w:hAnsi="仿宋" w:eastAsia="仿宋"/>
          <w:b/>
          <w:sz w:val="32"/>
          <w:szCs w:val="32"/>
        </w:rPr>
        <w:t>（七）加强宣传培训调研。</w:t>
      </w:r>
      <w:r>
        <w:rPr>
          <w:rFonts w:hint="eastAsia" w:ascii="仿宋" w:hAnsi="仿宋" w:eastAsia="仿宋"/>
          <w:sz w:val="32"/>
          <w:szCs w:val="32"/>
          <w:lang w:val="en-US" w:eastAsia="zh-CN"/>
        </w:rPr>
        <w:t>加强人员培训，提高本部门职工业务素质；加强调研，提出优化财政资金配置、提高资金使用效益的意见；加大宣传力度，强化预算绩效管理意识，促进预算绩效管理水平进一步提升。</w:t>
      </w:r>
    </w:p>
    <w:p>
      <w:pPr>
        <w:ind w:firstLine="645"/>
        <w:rPr>
          <w:rFonts w:ascii="黑体" w:hAnsi="黑体" w:eastAsia="黑体"/>
          <w:sz w:val="32"/>
          <w:szCs w:val="32"/>
        </w:rPr>
      </w:pPr>
      <w:r>
        <w:rPr>
          <w:rFonts w:hint="eastAsia" w:ascii="黑体" w:hAnsi="黑体" w:eastAsia="黑体"/>
          <w:sz w:val="32"/>
          <w:szCs w:val="32"/>
        </w:rPr>
        <w:t>二、预算项目绩效目标</w:t>
      </w:r>
    </w:p>
    <w:p>
      <w:pPr>
        <w:ind w:firstLine="562" w:firstLineChars="200"/>
        <w:jc w:val="left"/>
        <w:rPr>
          <w:rFonts w:hint="eastAsia" w:ascii="Times New Roman" w:hAnsi="宋体"/>
          <w:b/>
          <w:sz w:val="28"/>
        </w:rPr>
      </w:pPr>
      <w:r>
        <w:rPr>
          <w:rFonts w:hint="eastAsia" w:ascii="方正仿宋_GBK" w:eastAsia="方正仿宋_GBK"/>
          <w:b/>
          <w:sz w:val="28"/>
        </w:rPr>
        <w:t>1、综合文化服务中心宣传事物管理资金绩效目标表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800"/>
        <w:gridCol w:w="891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840"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159"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组织报送新闻稿件，力争全市名列前茅。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组织新闻记者来我区采访、宣传我区工作。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展现我区良好形象，不断提升我区知名度、美誉度。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8"/>
        <w:gridCol w:w="1211"/>
        <w:gridCol w:w="1799"/>
        <w:gridCol w:w="4363"/>
        <w:gridCol w:w="1314"/>
        <w:gridCol w:w="1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在市级以上媒体刊发宣传我区稿件</w:t>
            </w:r>
          </w:p>
        </w:tc>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刊发我区稿件数量</w:t>
            </w:r>
          </w:p>
        </w:tc>
        <w:tc>
          <w:tcPr>
            <w:tcW w:w="0" w:type="auto"/>
            <w:shd w:val="clear" w:color="auto" w:fill="auto"/>
            <w:vAlign w:val="center"/>
          </w:tcPr>
          <w:p>
            <w:pPr>
              <w:spacing w:line="300" w:lineRule="exact"/>
              <w:jc w:val="left"/>
              <w:rPr>
                <w:rFonts w:ascii="方正书宋_GBK" w:eastAsia="方正书宋_GBK"/>
              </w:rPr>
            </w:pPr>
            <w:r>
              <w:rPr>
                <w:rFonts w:ascii="方正书宋_GBK" w:eastAsia="方正书宋_GBK"/>
              </w:rPr>
              <w:t>&gt;40</w:t>
            </w:r>
            <w:r>
              <w:rPr>
                <w:rFonts w:hint="eastAsia" w:ascii="方正书宋_GBK" w:eastAsia="方正书宋_GBK"/>
              </w:rPr>
              <w:t>次</w:t>
            </w:r>
          </w:p>
        </w:tc>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月份发稿情况统计表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重点媒体宣传报道次数</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重点媒体宣传报道次数</w:t>
            </w:r>
          </w:p>
        </w:tc>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月份发稿情况统计表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按时完成时间</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w:t>
            </w:r>
            <w:r>
              <w:rPr>
                <w:rFonts w:ascii="方正书宋_GBK" w:eastAsia="方正书宋_GBK"/>
              </w:rPr>
              <w:t>12</w:t>
            </w:r>
            <w:r>
              <w:rPr>
                <w:rFonts w:hint="eastAsia" w:ascii="方正书宋_GBK" w:eastAsia="方正书宋_GBK"/>
              </w:rPr>
              <w:t>月年底完成完成宣传活动</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年底</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月份发稿情况统计表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月份发稿情况统计表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社会影响力显著</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宣传扩大我省国际影响力</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活动期间组织对接洽谈，发放宣传资料，开展推介活动，积极宣传我省优势产能与发展前景</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进一步加强社会效益</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发挥生态文明建设示范市县和</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发挥平台载体作用</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加强生态文明建设</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vMerge w:val="continue"/>
            <w:shd w:val="clear" w:color="auto" w:fill="auto"/>
            <w:vAlign w:val="center"/>
          </w:tcPr>
          <w:p>
            <w:pPr>
              <w:spacing w:line="300" w:lineRule="exact"/>
              <w:jc w:val="center"/>
              <w:rPr>
                <w:rFonts w:hint="eastAsia" w:ascii="方正书宋_GBK" w:eastAsia="方正书宋_GBK"/>
              </w:rPr>
            </w:pP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教育引导作用影响受众人次</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w:t>
            </w:r>
            <w:r>
              <w:rPr>
                <w:rFonts w:ascii="方正书宋_GBK" w:eastAsia="方正书宋_GBK"/>
              </w:rPr>
              <w:t>365</w:t>
            </w:r>
            <w:r>
              <w:rPr>
                <w:rFonts w:hint="eastAsia" w:ascii="方正书宋_GBK" w:eastAsia="方正书宋_GBK"/>
              </w:rPr>
              <w:t>百姓故事汇社会影响力情况</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社会价值观得到提升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0" w:type="auto"/>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0" w:type="auto"/>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新闻宣传考核标准</w:t>
            </w:r>
          </w:p>
        </w:tc>
      </w:tr>
    </w:tbl>
    <w:p>
      <w:pPr>
        <w:ind w:firstLine="562" w:firstLineChars="200"/>
        <w:jc w:val="left"/>
        <w:rPr>
          <w:rFonts w:hint="eastAsia" w:ascii="Times New Roman" w:hAnsi="宋体"/>
          <w:b/>
          <w:sz w:val="28"/>
        </w:rPr>
      </w:pPr>
      <w:r>
        <w:rPr>
          <w:rFonts w:hint="eastAsia" w:ascii="方正仿宋_GBK" w:eastAsia="方正仿宋_GBK"/>
          <w:b/>
          <w:sz w:val="28"/>
        </w:rPr>
        <w:t>2、综合文化服务中心网信事物管理资金绩效目标表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保障通讯畅通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保障通讯按全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推进和联网协议第六版建设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维护监控设备数量</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维护监控设备的数量</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维护监控设备的数量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数据采集传输有效率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数据采集传输有效率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数据采集传输有效率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立即</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此项工作支出标准</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此项工作支出标准</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此项工作支出标准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维护完成率 </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维护完成率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保障此项工作畅通</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保障此项工作畅通</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工作畅通</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保障此项工作畅通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减少突发 </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通过妥善处置突发环境事件，最大限度减少突发环境事件对生态环境的损害。</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通过妥善处置突发环境事件，最大限度减少突发环境事件对生态环境的损害。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县域监测评价工作满意度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县域监测评价工作满意度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县域监测评价工作满意度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3、综合文化服务临时聘用资金绩效目标表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保证工资的及时发放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保证工资的足额发放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保证社会保障缴费的及时缴纳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0"/>
        <w:gridCol w:w="1306"/>
        <w:gridCol w:w="2042"/>
        <w:gridCol w:w="3102"/>
        <w:gridCol w:w="1557"/>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95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44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72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3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95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4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726"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952"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年度绩效考核等次</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绩效考核分为优秀、合格、基本合格、不合格四个等次。</w:t>
            </w:r>
          </w:p>
        </w:tc>
        <w:tc>
          <w:tcPr>
            <w:tcW w:w="726" w:type="pct"/>
            <w:shd w:val="clear" w:color="auto" w:fill="auto"/>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百分比</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95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工资（福利）发放及时性</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工资福利发放的实效情况</w:t>
            </w:r>
          </w:p>
        </w:tc>
        <w:tc>
          <w:tcPr>
            <w:tcW w:w="7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工资（福利）、社会保障等</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工资（福利）、社会保障（公积金）等发放标准</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足额及时缴纳</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工资发放明细表及缴费完税证明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进一步增加人员归属感</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日常工作正常运转</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vMerge w:val="continue"/>
            <w:shd w:val="clear" w:color="auto" w:fill="auto"/>
            <w:vAlign w:val="center"/>
          </w:tcPr>
          <w:p>
            <w:pPr>
              <w:spacing w:line="300" w:lineRule="exact"/>
              <w:jc w:val="center"/>
              <w:rPr>
                <w:rFonts w:hint="eastAsia" w:ascii="方正书宋_GBK" w:eastAsia="方正书宋_GBK"/>
              </w:rPr>
            </w:pP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保障工作持续完成</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保证工作持续开展</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保证工作持续开展</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2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952"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人员满意度</w:t>
            </w:r>
          </w:p>
        </w:tc>
        <w:tc>
          <w:tcPr>
            <w:tcW w:w="144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对职工福利满意度</w:t>
            </w:r>
          </w:p>
        </w:tc>
        <w:tc>
          <w:tcPr>
            <w:tcW w:w="726"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34"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4、综合文化服务中心白沟新城便民书屋建设项目资金绩效目标表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实现图书阅览电子化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提高人民读书热情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提升公共文化服务能力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每万人拥有公共图书馆面积（㎡）</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每万人拥有公共图书馆面积（㎡）</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平米</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全民阅读率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全民阅读率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按时完成图书更新率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按时完成图书更新率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读书月活动</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读书月活动</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宣传农业绿色生产方式</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宣传农业绿色生产方式</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直接、间接总受益人数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直接、间接总受益人数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白沟新城智慧书屋建设项目规划书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5、综合文化服务中心综合事务管理资金绩效目标表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党的十九大学习专区正常运转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农村应急广播正常使用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广播与电视信号传输覆盖率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广播与电视信号传输覆盖率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广播与电视信号传输覆盖率</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信息系统建设维护工作完成率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信息系统建设维护工作完成率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设备维修及时率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设备维修及时率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系统维护费</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系统维护费</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监测产品对舆论导向的引导力</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监测产品对舆论导向的引导力</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数据共享率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数据共享率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广播、电视人口综合覆盖</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广播、电视人口综合覆盖</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监测数据合格率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监测数据合格率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合作协议</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6、综合文化服务中心理论中心组学习活动资金绩效目标表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全年学习不低于</w:t>
            </w:r>
            <w:r>
              <w:rPr>
                <w:rFonts w:ascii="方正书宋_GBK" w:eastAsia="方正书宋_GBK"/>
              </w:rPr>
              <w:t>12</w:t>
            </w:r>
            <w:r>
              <w:rPr>
                <w:rFonts w:hint="eastAsia" w:ascii="方正书宋_GBK" w:eastAsia="方正书宋_GBK"/>
              </w:rPr>
              <w:t>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理论中心组学习成员全覆盖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进一步坚持问题导向，结合工作实际，提升党员干部思想理论水平。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学习人员数量</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参加理论中心组学习的党员干部人数</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理论学习中心组学习活动佐证材料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学习资料完整性</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学习资料完整性</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学习计划</w:t>
            </w:r>
            <w:r>
              <w:rPr>
                <w:rFonts w:ascii="方正书宋_GBK" w:eastAsia="方正书宋_GBK"/>
              </w:rPr>
              <w:t>\</w:t>
            </w:r>
            <w:r>
              <w:rPr>
                <w:rFonts w:hint="eastAsia" w:ascii="方正书宋_GBK" w:eastAsia="方正书宋_GBK"/>
              </w:rPr>
              <w:t>签到</w:t>
            </w:r>
            <w:r>
              <w:rPr>
                <w:rFonts w:ascii="方正书宋_GBK" w:eastAsia="方正书宋_GBK"/>
              </w:rPr>
              <w:t>\</w:t>
            </w:r>
            <w:r>
              <w:rPr>
                <w:rFonts w:hint="eastAsia" w:ascii="方正书宋_GBK" w:eastAsia="方正书宋_GBK"/>
              </w:rPr>
              <w:t>学习资料完整</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按学习方案规定时间内完成</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按照学习方案在规定时间内完成</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按规定完成学习</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理论中心组学习活动佐证资料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提高工作效益</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进一步提高工作效率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进一步提升工作能力</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通过监督检查，促进行业规范</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进一步提升公共文化服务水平</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理论中心组学习佐证资料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工作业务保障能力得到进一步提升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理论中心组学习佐证资料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党员干部满意度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党员干部对学习活动的满意度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理论学习中心组学习活动佐证材料</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7、综合文化服务中心重点党报党刊征订资金绩效目标表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重点党报党刊征订任务按时间节点完成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重点党报党刊征订任务按征订数量完成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保障工作的正常运转</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受益群众满意度达到</w:t>
            </w:r>
            <w:r>
              <w:rPr>
                <w:rFonts w:ascii="方正书宋_GBK" w:eastAsia="方正书宋_GBK"/>
              </w:rPr>
              <w:t>85%</w:t>
            </w:r>
            <w:r>
              <w:rPr>
                <w:rFonts w:hint="eastAsia" w:ascii="方正书宋_GBK" w:eastAsia="方正书宋_GBK"/>
              </w:rPr>
              <w:t>以上</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报刊订阅数量</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报刊征订数量</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报刊订阅种类</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报刊订阅种类</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报刊征订完成时间</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按要求完成</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总预算数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按预算成本完成</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使用部门满意度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使用部门满意度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党报党刊工作的征订任务</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8、综合文化服务中心博物馆运营资金绩效目标表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博物馆正常运营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博物馆设备正常维护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博物馆展品保存完整</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博物馆参观人数</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博物馆参观人数</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万人</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年度维修（护）项目完成率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年度维修（护）项目完成率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提供服务次数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提供服务次数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政府购买文化服务合同</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9、综合文化服务中心搭建省市县多层级视频会议系统建设资金绩效目标表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视频会议系统正常运转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视频会议系统安全运转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保证正常视频会议召开</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解决技术难题</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解决技术难题</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实现无纸化</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实现无纸化，重复利用网络空间</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保定市文化广电和旅游局关于搭建省市县多层级视频会议系统</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10、宣传报道资金绩效目标表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完成广播电视节目的安全播出。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提供丰富多彩的精品电视节目。</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提高广播电视覆盖人口规模与数量。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群众文化活动数量</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开展群众文化活动数量</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安全播出</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加强技术管理、技术维护，确保广播播出设备正常运转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反映及时完成信息编辑制作及发布情况</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广播电视气象节目制作与发布委托业务成本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各种形式宣传推广</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提升广播电视行业人才素质</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对提升广播电视行业人才素质的影响</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丰富群众文化生活</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1000"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0</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综合服务受益对象满意度</w:t>
            </w:r>
          </w:p>
        </w:tc>
        <w:tc>
          <w:tcPr>
            <w:tcW w:w="1000"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提升服务满意度</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根据实际情况确定</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11、综合文化服务中心公共文化服务体系建设专项资金地方配套绩效目标表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基本公共文化设施达标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基本公共文化服务完善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基本公共文化服务能力提升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公共文化服务设施覆盖率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公共文化服务设施覆盖率</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免费公共文化活动宣传率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免费公共文化活动宣传率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文化活动按期完成率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文化活动按期完成率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预算资金控制数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预算资金控制数</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提升公共文化服务水平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提升公共文化服务水平</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宣传绿色生产方式</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宣传绿色生产方式</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河北省公共文化服务中心资金管理办法</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12、提前下达2021年中央补助地方国家电影事业发展专项资金预算绩效目标表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引领影院放映国产影片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力争国产影片票房占总收入的</w:t>
            </w:r>
            <w:r>
              <w:rPr>
                <w:rFonts w:ascii="方正书宋_GBK" w:eastAsia="方正书宋_GBK"/>
              </w:rPr>
              <w:t>55%</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引导影院放映具有文化特色</w:t>
            </w:r>
            <w:r>
              <w:rPr>
                <w:rFonts w:ascii="方正书宋_GBK" w:eastAsia="方正书宋_GBK"/>
              </w:rPr>
              <w:t>\</w:t>
            </w:r>
            <w:r>
              <w:rPr>
                <w:rFonts w:hint="eastAsia" w:ascii="方正书宋_GBK" w:eastAsia="方正书宋_GBK"/>
              </w:rPr>
              <w:t>艺术创新的国产影片</w:t>
            </w:r>
            <w:r>
              <w:rPr>
                <w:rFonts w:ascii="方正书宋_GBK" w:eastAsia="方正书宋_GBK"/>
              </w:rPr>
              <w:t>.</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奖励放映国产影片成绩突出影院</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奖励放映国产影片成绩突出影院</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家</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影院放映国产影片收入占比</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影院放映国产影片收入占比</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家</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影院全年放映国产影片率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影院全年放映国产影片率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国产影片票房增加</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国产影片票房增加</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国产影片观影人次增长</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国产影片观影人次增长</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促进社会和谐进步</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促进社会和谐进步</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观众对影院的满意度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观众对影院的满意度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年中央补助地方电影事业发展专项资金（保财教【</w:t>
            </w:r>
            <w:r>
              <w:rPr>
                <w:rFonts w:ascii="方正书宋_GBK" w:eastAsia="方正书宋_GBK"/>
              </w:rPr>
              <w:t>2020</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13、综合文化服务中心老电影放映员生活补贴资金绩效目标表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补助金额足额发放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补助金额及时发放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保持信访稳定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补助发放完成时间</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及时发放生活补助</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899"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提高生活水平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提高生活水平</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社会和谐稳定</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保持社会和谐稳定</w:t>
            </w:r>
          </w:p>
        </w:tc>
        <w:tc>
          <w:tcPr>
            <w:tcW w:w="899"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保持长期稳定</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保持老电影放映员群体长期稳定</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保持老电影放映员群体长期稳定</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《关于妥善解决乡镇（公社）老电影放映员历史遗留问题的指导意见》</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14、综合文化服务中心文化产业引导资金绩效目标表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引导带动社会资本进入文化领域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提升文化产业自主创新能力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提升文化产业的市场竞争力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支持重点文化企业发展数量</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支持重点文化企业发展数量</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文化企业发展支持度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文化企业发展支持度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按计划组织申报文化产业</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按计划组织申报文化产业</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支撑行业科技创新发展</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支撑行业科技创新发展</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引导社会资金投入能力</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引导社会资金投入能力</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支持文化产业创新发展</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文化产业引导资金使用管理办法</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15、综合文化服务中心扫黄打非工作专项资金绩效目标表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完善扫黄打非治理体系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提扫黄打非治理能力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净化文化市场环境</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张</w:t>
            </w:r>
          </w:p>
        </w:tc>
        <w:tc>
          <w:tcPr>
            <w:tcW w:w="800" w:type="pct"/>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完成时限</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完成时限</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对照方案，按时完成</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百分比进一步增强</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办公经费节省数（万元）</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办公经费节省数（万元）</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开展宣传教育培训</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开展宣传教育培训</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监测数据合格率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监测数据合格率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cs" w:ascii="方正书宋_GBK" w:eastAsia="方正书宋_GBK"/>
              </w:rPr>
            </w:pP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工作方案</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16、综合文化服务劳务派遣资金绩效目标表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1069"/>
        <w:gridCol w:w="964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500" w:type="pct"/>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保障劳务费的正常发放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保障劳务费的足额发放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保障社会保障缴费的及时缴纳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1714"/>
        <w:gridCol w:w="2143"/>
        <w:gridCol w:w="2143"/>
        <w:gridCol w:w="1926"/>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经费保障人数</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经费保障人数</w:t>
            </w:r>
          </w:p>
        </w:tc>
        <w:tc>
          <w:tcPr>
            <w:tcW w:w="899" w:type="pct"/>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8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000"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年度考核等次</w:t>
            </w:r>
          </w:p>
        </w:tc>
        <w:tc>
          <w:tcPr>
            <w:tcW w:w="1000" w:type="pct"/>
            <w:shd w:val="clear" w:color="auto" w:fill="auto"/>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年度考核优秀人员占比</w:t>
            </w:r>
          </w:p>
        </w:tc>
        <w:tc>
          <w:tcPr>
            <w:tcW w:w="8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工资福利发放及时性</w:t>
            </w:r>
          </w:p>
        </w:tc>
        <w:tc>
          <w:tcPr>
            <w:tcW w:w="10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工资发放的实效情况</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足额及时发放</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工资、社会保障缴费</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工资、社保按预算执行</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所需工资、社保金额</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增强工作人员归属感</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通过按时按量发放工资，进一步增强工作人员的归属感</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归属感进一步加强</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保障日常工作正常运转</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shd w:val="clear" w:color="auto" w:fill="auto"/>
            <w:vAlign w:val="center"/>
          </w:tcPr>
          <w:p>
            <w:pPr>
              <w:spacing w:line="300" w:lineRule="exact"/>
              <w:jc w:val="center"/>
              <w:rPr>
                <w:rFonts w:hint="eastAsia" w:ascii="方正书宋_GBK" w:eastAsia="方正书宋_GBK"/>
              </w:rPr>
            </w:pP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保障工作持续开展</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保障工作的持续开展</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保障工作持续发展</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10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单位人员对正常工作运转的满意程度</w:t>
            </w:r>
          </w:p>
        </w:tc>
        <w:tc>
          <w:tcPr>
            <w:tcW w:w="899"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80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年度考核总结</w:t>
            </w:r>
          </w:p>
        </w:tc>
      </w:tr>
    </w:tbl>
    <w:p>
      <w:pPr>
        <w:spacing w:line="300" w:lineRule="exact"/>
        <w:jc w:val="left"/>
      </w:pPr>
    </w:p>
    <w:p>
      <w:pPr>
        <w:jc w:val="left"/>
        <w:outlineLvl w:val="0"/>
        <w:rPr>
          <w:rFonts w:hint="eastAsia" w:ascii="黑体" w:hAnsi="黑体" w:eastAsia="黑体"/>
          <w:sz w:val="32"/>
          <w:szCs w:val="32"/>
        </w:rPr>
      </w:pPr>
    </w:p>
    <w:p>
      <w:pPr>
        <w:autoSpaceDE w:val="0"/>
        <w:autoSpaceDN w:val="0"/>
        <w:adjustRightInd w:val="0"/>
        <w:spacing w:line="600" w:lineRule="exact"/>
        <w:jc w:val="center"/>
        <w:rPr>
          <w:rFonts w:hint="eastAsia" w:ascii="黑体" w:hAnsi="黑体" w:eastAsia="黑体" w:cs="仿宋"/>
          <w:b/>
          <w:sz w:val="32"/>
          <w:szCs w:val="32"/>
        </w:rPr>
      </w:pPr>
      <w:r>
        <w:rPr>
          <w:rFonts w:hint="eastAsia" w:ascii="黑体" w:hAnsi="黑体" w:eastAsia="黑体" w:cs="仿宋"/>
          <w:b/>
          <w:sz w:val="32"/>
          <w:szCs w:val="32"/>
        </w:rPr>
        <w:t>第六部分：政府采购预算情况</w:t>
      </w:r>
    </w:p>
    <w:p>
      <w:pPr>
        <w:autoSpaceDE w:val="0"/>
        <w:autoSpaceDN w:val="0"/>
        <w:adjustRightInd w:val="0"/>
        <w:spacing w:line="600" w:lineRule="exact"/>
        <w:rPr>
          <w:rFonts w:hint="eastAsia" w:ascii="仿宋" w:hAnsi="仿宋" w:eastAsia="仿宋"/>
          <w:spacing w:val="-40"/>
          <w:sz w:val="32"/>
          <w:szCs w:val="32"/>
        </w:rPr>
      </w:pPr>
      <w:r>
        <w:rPr>
          <w:rFonts w:hint="eastAsia" w:ascii="仿宋" w:hAnsi="仿宋" w:eastAsia="仿宋"/>
          <w:spacing w:val="-40"/>
          <w:sz w:val="32"/>
          <w:szCs w:val="32"/>
          <w:lang w:eastAsia="zh-CN"/>
        </w:rPr>
        <w:t>2021年</w:t>
      </w:r>
      <w:r>
        <w:rPr>
          <w:rFonts w:hint="eastAsia" w:ascii="仿宋" w:hAnsi="仿宋" w:eastAsia="仿宋"/>
          <w:spacing w:val="-40"/>
          <w:sz w:val="32"/>
          <w:szCs w:val="32"/>
        </w:rPr>
        <w:t>，白沟镇综合文化服务中心安排采购预算</w:t>
      </w:r>
      <w:r>
        <w:rPr>
          <w:rFonts w:hint="eastAsia" w:ascii="仿宋" w:hAnsi="仿宋" w:eastAsia="仿宋"/>
          <w:spacing w:val="-40"/>
          <w:sz w:val="32"/>
          <w:szCs w:val="32"/>
          <w:lang w:val="en-US" w:eastAsia="zh-CN"/>
        </w:rPr>
        <w:t>516.4322</w:t>
      </w:r>
      <w:r>
        <w:rPr>
          <w:rFonts w:hint="eastAsia" w:ascii="仿宋" w:hAnsi="仿宋" w:eastAsia="仿宋"/>
          <w:spacing w:val="-40"/>
          <w:sz w:val="32"/>
          <w:szCs w:val="32"/>
        </w:rPr>
        <w:t>万元。具体内容见下表：</w:t>
      </w:r>
    </w:p>
    <w:tbl>
      <w:tblPr>
        <w:tblStyle w:val="5"/>
        <w:tblW w:w="51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1210"/>
        <w:gridCol w:w="1501"/>
        <w:gridCol w:w="1445"/>
        <w:gridCol w:w="500"/>
        <w:gridCol w:w="906"/>
        <w:gridCol w:w="1229"/>
        <w:gridCol w:w="975"/>
        <w:gridCol w:w="906"/>
        <w:gridCol w:w="311"/>
        <w:gridCol w:w="405"/>
        <w:gridCol w:w="450"/>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政府采购项目来源</w:t>
            </w:r>
          </w:p>
        </w:tc>
        <w:tc>
          <w:tcPr>
            <w:tcW w:w="551"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预算资金</w:t>
            </w:r>
          </w:p>
        </w:tc>
        <w:tc>
          <w:tcPr>
            <w:tcW w:w="684"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采购物品名称</w:t>
            </w:r>
          </w:p>
        </w:tc>
        <w:tc>
          <w:tcPr>
            <w:tcW w:w="658"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政府采购目录序号</w:t>
            </w:r>
          </w:p>
        </w:tc>
        <w:tc>
          <w:tcPr>
            <w:tcW w:w="227"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计量单位</w:t>
            </w:r>
          </w:p>
        </w:tc>
        <w:tc>
          <w:tcPr>
            <w:tcW w:w="41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数量</w:t>
            </w:r>
          </w:p>
        </w:tc>
        <w:tc>
          <w:tcPr>
            <w:tcW w:w="560"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单价</w:t>
            </w:r>
          </w:p>
        </w:tc>
        <w:tc>
          <w:tcPr>
            <w:tcW w:w="1587" w:type="pct"/>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项目名称</w:t>
            </w:r>
          </w:p>
        </w:tc>
        <w:tc>
          <w:tcPr>
            <w:tcW w:w="551"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84"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58"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227"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13"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560"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合计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一般公共预算拨款</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基金预算拨款</w:t>
            </w: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国有资本经营预算拨款</w:t>
            </w: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财政专户核拨</w:t>
            </w: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其他收入来源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小计</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516.4322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137.56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37.56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复印纸</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A090101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件</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台式电脑</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A02010104</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0.9</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会议桌椅</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日常公用经费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打印机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A0201060102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理论中心组学习经费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复印纸</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A090101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件</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笔记本电脑</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A02010105</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nil"/>
              <w:bottom w:val="nil"/>
              <w:right w:val="nil"/>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搭建省市县多层级视频会议系统建设费用</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专用链路资费</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nil"/>
              <w:left w:val="nil"/>
              <w:bottom w:val="nil"/>
              <w:right w:val="nil"/>
              <w:tl2br w:val="nil"/>
              <w:tr2bl w:val="nil"/>
            </w:tcBorders>
            <w:noWrap w:val="0"/>
            <w:vAlign w:val="top"/>
          </w:tcPr>
          <w:p>
            <w:pPr>
              <w:spacing w:beforeLines="0" w:afterLines="0"/>
              <w:jc w:val="left"/>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液晶显示器</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A0201060401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扫黄打非活动经费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宣传页</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37000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0.000027</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扫黄打非护苗行动绿色书签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0.002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村街社区学校扫黄打非宣传专栏、展板</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0.09</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创建文明城市工作经费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宣传页</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C081401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0.0003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体育健身器材购置费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体育健身器材</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A033799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IPV6政府门户网站协议升级维护费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网络舆情会商研判系统和视频会议费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网络舆情大数据监测预警平台建设费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检测预警平台建设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大喇叭一期维护费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大喇叭二期维护费</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96</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0.19</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p>
            <w:pPr>
              <w:bidi w:val="0"/>
              <w:rPr>
                <w:rFonts w:hint="eastAsia" w:ascii="Calibri" w:hAnsi="Calibri" w:eastAsia="宋体" w:cs="Times New Roman"/>
                <w:kern w:val="2"/>
                <w:sz w:val="21"/>
                <w:szCs w:val="24"/>
                <w:lang w:val="en-US" w:eastAsia="zh-CN" w:bidi="ar-SA"/>
              </w:rPr>
            </w:pPr>
          </w:p>
          <w:p>
            <w:pPr>
              <w:bidi w:val="0"/>
              <w:jc w:val="left"/>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学习党的十九大专区</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互联网接入服务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0.0312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2.5584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博物馆线路租赁</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C0206</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公里</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博物馆专线</w:t>
            </w: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线路维护服务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智慧图书馆项目</w:t>
            </w:r>
          </w:p>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87.87</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软件开发服务</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20.12</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微型图书馆 （八门）</w:t>
            </w:r>
          </w:p>
        </w:tc>
        <w:tc>
          <w:tcPr>
            <w:tcW w:w="65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nil"/>
              <w:left w:val="nil"/>
              <w:bottom w:val="nil"/>
              <w:right w:val="nil"/>
              <w:tl2br w:val="nil"/>
              <w:tr2bl w:val="nil"/>
            </w:tcBorders>
            <w:noWrap w:val="0"/>
            <w:vAlign w:val="center"/>
          </w:tcPr>
          <w:p>
            <w:pPr>
              <w:spacing w:beforeLines="0" w:afterLines="0"/>
              <w:jc w:val="center"/>
              <w:rPr>
                <w:rFonts w:hint="eastAsia" w:ascii="仿宋" w:hAnsi="仿宋" w:eastAsia="仿宋"/>
                <w:color w:val="000000"/>
                <w:sz w:val="20"/>
                <w:szCs w:val="24"/>
              </w:rPr>
            </w:pPr>
            <w:r>
              <w:rPr>
                <w:rFonts w:hint="eastAsia" w:ascii="仿宋" w:hAnsi="仿宋" w:eastAsia="仿宋"/>
                <w:color w:val="000000"/>
                <w:sz w:val="20"/>
                <w:szCs w:val="24"/>
              </w:rPr>
              <w:t>10.062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20.124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20.124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13.80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18平米智慧图书馆玻璃房</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0.40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RFID图书标签</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0.0001322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0.3966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0.3966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0.35</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RFID读者证</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0.000345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0.345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0.345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5.30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馆员工作站</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1.7661</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5.2983</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5.2983</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0.29</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移动还书箱</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0.2875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2.19</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RFID安全门</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2.185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6.20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自助借还办证一体机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6.1974</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数据加工、标签转换</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3000</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0.00012</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集群管理软件</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C0201</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3.45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电路</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C030102</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条/年</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15"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5.00</w:t>
            </w:r>
          </w:p>
        </w:tc>
        <w:tc>
          <w:tcPr>
            <w:tcW w:w="684"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系统集成费（运输、安装、调试、培训、巡检等）</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A02010899</w:t>
            </w: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次</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55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22.00</w:t>
            </w:r>
          </w:p>
        </w:tc>
        <w:tc>
          <w:tcPr>
            <w:tcW w:w="6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电子书借阅机</w:t>
            </w:r>
          </w:p>
        </w:tc>
        <w:tc>
          <w:tcPr>
            <w:tcW w:w="65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2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56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5.5</w:t>
            </w:r>
          </w:p>
        </w:tc>
        <w:tc>
          <w:tcPr>
            <w:tcW w:w="44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22</w:t>
            </w:r>
          </w:p>
        </w:tc>
        <w:tc>
          <w:tcPr>
            <w:tcW w:w="41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22</w:t>
            </w:r>
          </w:p>
        </w:tc>
        <w:tc>
          <w:tcPr>
            <w:tcW w:w="141"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8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20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c>
          <w:tcPr>
            <w:tcW w:w="198"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p>
        </w:tc>
      </w:tr>
    </w:tbl>
    <w:p>
      <w:pPr>
        <w:autoSpaceDE w:val="0"/>
        <w:autoSpaceDN w:val="0"/>
        <w:adjustRightInd w:val="0"/>
        <w:spacing w:line="600" w:lineRule="exact"/>
        <w:rPr>
          <w:rFonts w:hint="eastAsia" w:ascii="仿宋" w:hAnsi="仿宋" w:eastAsia="仿宋"/>
          <w:spacing w:val="-40"/>
          <w:sz w:val="32"/>
          <w:szCs w:val="32"/>
        </w:rPr>
      </w:pPr>
    </w:p>
    <w:p>
      <w:pPr>
        <w:autoSpaceDE w:val="0"/>
        <w:autoSpaceDN w:val="0"/>
        <w:adjustRightInd w:val="0"/>
        <w:spacing w:line="600" w:lineRule="exact"/>
        <w:rPr>
          <w:rFonts w:ascii="黑体" w:hAnsi="黑体" w:eastAsia="黑体" w:cs="仿宋"/>
          <w:b/>
          <w:spacing w:val="-40"/>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第七部分：国有资产信息情况说明</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年末固定资产总额</w:t>
      </w:r>
      <w:r>
        <w:rPr>
          <w:rFonts w:hint="eastAsia" w:ascii="仿宋" w:hAnsi="仿宋" w:eastAsia="仿宋"/>
          <w:sz w:val="32"/>
          <w:szCs w:val="32"/>
          <w:lang w:val="en-US" w:eastAsia="zh-CN"/>
        </w:rPr>
        <w:t>94.59328</w:t>
      </w:r>
      <w:r>
        <w:rPr>
          <w:rFonts w:hint="eastAsia" w:ascii="仿宋" w:hAnsi="仿宋" w:eastAsia="仿宋"/>
          <w:sz w:val="32"/>
          <w:szCs w:val="32"/>
        </w:rPr>
        <w:t xml:space="preserve"> 万元。</w:t>
      </w:r>
      <w:r>
        <w:rPr>
          <w:rFonts w:hint="eastAsia" w:ascii="仿宋" w:hAnsi="仿宋" w:eastAsia="仿宋"/>
          <w:sz w:val="32"/>
          <w:szCs w:val="32"/>
          <w:lang w:eastAsia="zh-CN"/>
        </w:rPr>
        <w:t>2021年</w:t>
      </w:r>
      <w:r>
        <w:rPr>
          <w:rFonts w:hint="eastAsia" w:ascii="仿宋" w:hAnsi="仿宋" w:eastAsia="仿宋"/>
          <w:sz w:val="32"/>
          <w:szCs w:val="32"/>
        </w:rPr>
        <w:t xml:space="preserve">拟购置固定资产 </w:t>
      </w:r>
      <w:r>
        <w:rPr>
          <w:rFonts w:hint="eastAsia" w:ascii="仿宋" w:hAnsi="仿宋" w:eastAsia="仿宋"/>
          <w:sz w:val="32"/>
          <w:szCs w:val="32"/>
          <w:lang w:val="en-US" w:eastAsia="zh-CN"/>
        </w:rPr>
        <w:t>5.55</w:t>
      </w:r>
      <w:r>
        <w:rPr>
          <w:rFonts w:hint="eastAsia" w:ascii="仿宋" w:hAnsi="仿宋" w:eastAsia="仿宋"/>
          <w:sz w:val="32"/>
          <w:szCs w:val="32"/>
        </w:rPr>
        <w:t>万元，主要为通用设备，并已列入政府采购预算。</w:t>
      </w:r>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年国有资产占有情况见下表：</w:t>
      </w:r>
    </w:p>
    <w:tbl>
      <w:tblPr>
        <w:tblStyle w:val="5"/>
        <w:tblW w:w="4999" w:type="pct"/>
        <w:tblInd w:w="0" w:type="dxa"/>
        <w:tblLayout w:type="autofit"/>
        <w:tblCellMar>
          <w:top w:w="0" w:type="dxa"/>
          <w:left w:w="108" w:type="dxa"/>
          <w:bottom w:w="0" w:type="dxa"/>
          <w:right w:w="108" w:type="dxa"/>
        </w:tblCellMar>
      </w:tblPr>
      <w:tblGrid>
        <w:gridCol w:w="4151"/>
        <w:gridCol w:w="2285"/>
        <w:gridCol w:w="4278"/>
      </w:tblGrid>
      <w:tr>
        <w:tblPrEx>
          <w:tblCellMar>
            <w:top w:w="0" w:type="dxa"/>
            <w:left w:w="108" w:type="dxa"/>
            <w:bottom w:w="0" w:type="dxa"/>
            <w:right w:w="108" w:type="dxa"/>
          </w:tblCellMar>
        </w:tblPrEx>
        <w:trPr>
          <w:trHeight w:val="510" w:hRule="atLeast"/>
        </w:trPr>
        <w:tc>
          <w:tcPr>
            <w:tcW w:w="3003" w:type="pct"/>
            <w:gridSpan w:val="2"/>
            <w:tcBorders>
              <w:top w:val="nil"/>
              <w:left w:val="nil"/>
              <w:bottom w:val="nil"/>
              <w:right w:val="nil"/>
            </w:tcBorders>
            <w:vAlign w:val="center"/>
          </w:tcPr>
          <w:p>
            <w:pPr>
              <w:spacing w:line="300" w:lineRule="exact"/>
              <w:jc w:val="left"/>
              <w:rPr>
                <w:rFonts w:hint="default" w:ascii="方正小标宋_GBK" w:eastAsia="方正小标宋_GBK"/>
                <w:b/>
                <w:bCs/>
                <w:sz w:val="24"/>
                <w:lang w:val="en-US" w:eastAsia="zh-CN"/>
              </w:rPr>
            </w:pPr>
            <w:r>
              <w:rPr>
                <w:rFonts w:hint="eastAsia" w:ascii="方正小标宋_GBK" w:eastAsia="方正小标宋_GBK"/>
                <w:sz w:val="24"/>
              </w:rPr>
              <w:t>预算单位编码及名称</w:t>
            </w:r>
            <w:r>
              <w:rPr>
                <w:rFonts w:hint="eastAsia" w:ascii="方正小标宋_GBK" w:eastAsia="方正小标宋_GBK"/>
                <w:sz w:val="24"/>
                <w:lang w:eastAsia="zh-CN"/>
              </w:rPr>
              <w:t>：</w:t>
            </w:r>
            <w:r>
              <w:rPr>
                <w:rFonts w:hint="eastAsia" w:ascii="方正小标宋_GBK" w:eastAsia="方正小标宋_GBK"/>
                <w:sz w:val="24"/>
                <w:lang w:val="en-US" w:eastAsia="zh-CN"/>
              </w:rPr>
              <w:t>白沟镇综合文化服务中心（322003）</w:t>
            </w:r>
          </w:p>
        </w:tc>
        <w:tc>
          <w:tcPr>
            <w:tcW w:w="1996" w:type="pct"/>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0</w:t>
            </w:r>
            <w:r>
              <w:rPr>
                <w:rFonts w:hint="eastAsia" w:ascii="方正小标宋_GBK" w:eastAsia="方正小标宋_GBK"/>
                <w:sz w:val="24"/>
              </w:rPr>
              <w:t>年12月31日</w:t>
            </w:r>
          </w:p>
        </w:tc>
      </w:tr>
      <w:tr>
        <w:tblPrEx>
          <w:tblCellMar>
            <w:top w:w="0" w:type="dxa"/>
            <w:left w:w="108" w:type="dxa"/>
            <w:bottom w:w="0" w:type="dxa"/>
            <w:right w:w="108" w:type="dxa"/>
          </w:tblCellMar>
        </w:tblPrEx>
        <w:trPr>
          <w:trHeight w:val="632"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项目</w:t>
            </w:r>
          </w:p>
        </w:tc>
        <w:tc>
          <w:tcPr>
            <w:tcW w:w="1066" w:type="pct"/>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1996" w:type="pct"/>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eastAsia="方正书宋_GBK"/>
                <w:kern w:val="0"/>
                <w:szCs w:val="21"/>
              </w:rPr>
              <w:t>——</w:t>
            </w:r>
            <w:bookmarkStart w:id="0" w:name="_GoBack"/>
            <w:bookmarkEnd w:id="0"/>
          </w:p>
        </w:tc>
        <w:tc>
          <w:tcPr>
            <w:tcW w:w="1996" w:type="pct"/>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94.59328</w:t>
            </w: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其中：办公用房（平方米）</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CellMar>
            <w:top w:w="0" w:type="dxa"/>
            <w:left w:w="108" w:type="dxa"/>
            <w:bottom w:w="0" w:type="dxa"/>
            <w:right w:w="108" w:type="dxa"/>
          </w:tblCellMar>
        </w:tblPrEx>
        <w:trPr>
          <w:trHeight w:val="454" w:hRule="atLeast"/>
        </w:trPr>
        <w:tc>
          <w:tcPr>
            <w:tcW w:w="1937" w:type="pc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066" w:type="pct"/>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1996" w:type="pct"/>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94.59328</w:t>
            </w:r>
          </w:p>
        </w:tc>
      </w:tr>
    </w:tbl>
    <w:p>
      <w:pPr>
        <w:spacing w:line="520" w:lineRule="exact"/>
        <w:ind w:firstLine="640" w:firstLineChars="200"/>
        <w:rPr>
          <w:rFonts w:ascii="仿宋" w:hAnsi="仿宋" w:eastAsia="仿宋"/>
          <w:sz w:val="32"/>
          <w:szCs w:val="32"/>
        </w:rPr>
      </w:pPr>
    </w:p>
    <w:p>
      <w:pPr>
        <w:autoSpaceDE w:val="0"/>
        <w:autoSpaceDN w:val="0"/>
        <w:adjustRightInd w:val="0"/>
        <w:spacing w:line="520" w:lineRule="exact"/>
        <w:ind w:firstLine="640"/>
        <w:jc w:val="center"/>
        <w:rPr>
          <w:rFonts w:ascii="黑体" w:hAnsi="黑体" w:eastAsia="黑体" w:cs="仿宋"/>
          <w:b/>
          <w:sz w:val="32"/>
          <w:szCs w:val="32"/>
        </w:rPr>
      </w:pPr>
      <w:r>
        <w:rPr>
          <w:rFonts w:hint="eastAsia" w:ascii="黑体" w:hAnsi="黑体" w:eastAsia="黑体" w:cs="仿宋"/>
          <w:b/>
          <w:sz w:val="32"/>
          <w:szCs w:val="32"/>
        </w:rPr>
        <w:t>第八部分：名词解释</w:t>
      </w:r>
    </w:p>
    <w:p>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2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803" w:firstLineChars="250"/>
        <w:rPr>
          <w:rFonts w:ascii="宋体" w:cs="宋体"/>
          <w:sz w:val="30"/>
          <w:szCs w:val="30"/>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spacing w:line="52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hd w:val="clear" w:color="auto" w:fill="FFFFFF"/>
        <w:spacing w:line="52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sectPr>
      <w:pgSz w:w="11906" w:h="16838"/>
      <w:pgMar w:top="1440" w:right="646" w:bottom="1440" w:left="7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rPr>
        <w:rFonts w:cs="Times New Roman"/>
      </w:rPr>
    </w:lvl>
  </w:abstractNum>
  <w:abstractNum w:abstractNumId="2">
    <w:nsid w:val="0000000E"/>
    <w:multiLevelType w:val="singleLevel"/>
    <w:tmpl w:val="0000000E"/>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852"/>
    <w:rsid w:val="00034301"/>
    <w:rsid w:val="00036325"/>
    <w:rsid w:val="00067539"/>
    <w:rsid w:val="00072892"/>
    <w:rsid w:val="0009232F"/>
    <w:rsid w:val="000D5171"/>
    <w:rsid w:val="001221D5"/>
    <w:rsid w:val="0013350E"/>
    <w:rsid w:val="001401DC"/>
    <w:rsid w:val="00141327"/>
    <w:rsid w:val="00153A5F"/>
    <w:rsid w:val="001D3934"/>
    <w:rsid w:val="0022060B"/>
    <w:rsid w:val="00224468"/>
    <w:rsid w:val="002273FF"/>
    <w:rsid w:val="00242D4C"/>
    <w:rsid w:val="002611AC"/>
    <w:rsid w:val="002D2738"/>
    <w:rsid w:val="002D6AD3"/>
    <w:rsid w:val="002E035E"/>
    <w:rsid w:val="002E2C5D"/>
    <w:rsid w:val="002E3CE3"/>
    <w:rsid w:val="00303A66"/>
    <w:rsid w:val="00353973"/>
    <w:rsid w:val="00355149"/>
    <w:rsid w:val="00370AA6"/>
    <w:rsid w:val="00373000"/>
    <w:rsid w:val="003834B7"/>
    <w:rsid w:val="003A1708"/>
    <w:rsid w:val="003B77D6"/>
    <w:rsid w:val="003F6545"/>
    <w:rsid w:val="0042054F"/>
    <w:rsid w:val="0044442E"/>
    <w:rsid w:val="00452175"/>
    <w:rsid w:val="004606D5"/>
    <w:rsid w:val="00465633"/>
    <w:rsid w:val="004A696E"/>
    <w:rsid w:val="00526D21"/>
    <w:rsid w:val="0052702D"/>
    <w:rsid w:val="00564751"/>
    <w:rsid w:val="005733B8"/>
    <w:rsid w:val="00591106"/>
    <w:rsid w:val="005969CE"/>
    <w:rsid w:val="005A421E"/>
    <w:rsid w:val="005B60EA"/>
    <w:rsid w:val="005E5916"/>
    <w:rsid w:val="005F6799"/>
    <w:rsid w:val="00600436"/>
    <w:rsid w:val="00622F2A"/>
    <w:rsid w:val="0062759B"/>
    <w:rsid w:val="00660C98"/>
    <w:rsid w:val="006C20E5"/>
    <w:rsid w:val="006C56B4"/>
    <w:rsid w:val="006D7598"/>
    <w:rsid w:val="006E15AF"/>
    <w:rsid w:val="006E4FE2"/>
    <w:rsid w:val="00710E5E"/>
    <w:rsid w:val="00715D2A"/>
    <w:rsid w:val="00727EEC"/>
    <w:rsid w:val="00732D33"/>
    <w:rsid w:val="007B149B"/>
    <w:rsid w:val="00805ECE"/>
    <w:rsid w:val="00852B00"/>
    <w:rsid w:val="00857E72"/>
    <w:rsid w:val="00867D73"/>
    <w:rsid w:val="008A6F9C"/>
    <w:rsid w:val="008D58DE"/>
    <w:rsid w:val="00920D91"/>
    <w:rsid w:val="00960EA4"/>
    <w:rsid w:val="00971E24"/>
    <w:rsid w:val="009853CC"/>
    <w:rsid w:val="009E103A"/>
    <w:rsid w:val="009F6956"/>
    <w:rsid w:val="00A25E99"/>
    <w:rsid w:val="00A349E1"/>
    <w:rsid w:val="00A41D48"/>
    <w:rsid w:val="00A434C8"/>
    <w:rsid w:val="00A57002"/>
    <w:rsid w:val="00A60B49"/>
    <w:rsid w:val="00A70B06"/>
    <w:rsid w:val="00A76937"/>
    <w:rsid w:val="00A918DF"/>
    <w:rsid w:val="00A96412"/>
    <w:rsid w:val="00AA45A4"/>
    <w:rsid w:val="00AF206E"/>
    <w:rsid w:val="00AF7E4D"/>
    <w:rsid w:val="00B405D3"/>
    <w:rsid w:val="00B457DE"/>
    <w:rsid w:val="00B7405B"/>
    <w:rsid w:val="00B900EC"/>
    <w:rsid w:val="00B93F3B"/>
    <w:rsid w:val="00BD0714"/>
    <w:rsid w:val="00BE4B3E"/>
    <w:rsid w:val="00BE6F19"/>
    <w:rsid w:val="00C22665"/>
    <w:rsid w:val="00C429F3"/>
    <w:rsid w:val="00C77589"/>
    <w:rsid w:val="00C916AC"/>
    <w:rsid w:val="00CC0E05"/>
    <w:rsid w:val="00D15A64"/>
    <w:rsid w:val="00D3618B"/>
    <w:rsid w:val="00D460C8"/>
    <w:rsid w:val="00D515C9"/>
    <w:rsid w:val="00D5535D"/>
    <w:rsid w:val="00D57DB1"/>
    <w:rsid w:val="00D625D0"/>
    <w:rsid w:val="00E1516B"/>
    <w:rsid w:val="00E35C9B"/>
    <w:rsid w:val="00E36E8B"/>
    <w:rsid w:val="00E42C8F"/>
    <w:rsid w:val="00E47922"/>
    <w:rsid w:val="00E81212"/>
    <w:rsid w:val="00E9086F"/>
    <w:rsid w:val="00EA1FCB"/>
    <w:rsid w:val="00ED4DD0"/>
    <w:rsid w:val="00ED6CF3"/>
    <w:rsid w:val="00EF562E"/>
    <w:rsid w:val="00F17B37"/>
    <w:rsid w:val="00F56E2D"/>
    <w:rsid w:val="00F63AB4"/>
    <w:rsid w:val="00F847DE"/>
    <w:rsid w:val="00F87378"/>
    <w:rsid w:val="00F97825"/>
    <w:rsid w:val="00FB2D13"/>
    <w:rsid w:val="00FB6F90"/>
    <w:rsid w:val="00FE0FC6"/>
    <w:rsid w:val="2DC96C4E"/>
    <w:rsid w:val="3D1E2120"/>
    <w:rsid w:val="5A6D13C9"/>
    <w:rsid w:val="61AB6160"/>
    <w:rsid w:val="78C25E15"/>
    <w:rsid w:val="7A206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character" w:customStyle="1" w:styleId="9">
    <w:name w:val="页码1"/>
    <w:basedOn w:val="6"/>
    <w:uiPriority w:val="0"/>
  </w:style>
  <w:style w:type="character" w:customStyle="1" w:styleId="10">
    <w:name w:val="页脚 Char"/>
    <w:link w:val="3"/>
    <w:semiHidden/>
    <w:qFormat/>
    <w:uiPriority w:val="0"/>
    <w:rPr>
      <w:rFonts w:cs="Times New Roman"/>
      <w:kern w:val="2"/>
      <w:sz w:val="18"/>
      <w:szCs w:val="18"/>
    </w:rPr>
  </w:style>
  <w:style w:type="character" w:customStyle="1" w:styleId="11">
    <w:name w:val="页眉 Char"/>
    <w:link w:val="4"/>
    <w:semiHidden/>
    <w:qFormat/>
    <w:uiPriority w:val="0"/>
    <w:rPr>
      <w:rFonts w:cs="Times New Roman"/>
      <w:kern w:val="2"/>
      <w:sz w:val="18"/>
      <w:szCs w:val="18"/>
    </w:rPr>
  </w:style>
  <w:style w:type="character" w:customStyle="1" w:styleId="12">
    <w:name w:val="apple-converted-space"/>
    <w:uiPriority w:val="0"/>
    <w:rPr>
      <w:rFonts w:cs="Times New Roman"/>
    </w:rPr>
  </w:style>
  <w:style w:type="character" w:customStyle="1" w:styleId="13">
    <w:name w:val="fontstyle11"/>
    <w:qFormat/>
    <w:uiPriority w:val="0"/>
    <w:rPr>
      <w:rFonts w:ascii="仿宋" w:hAnsi="仿宋" w:eastAsia="仿宋" w:cs="仿宋"/>
      <w:color w:val="000000"/>
      <w:sz w:val="32"/>
      <w:szCs w:val="32"/>
    </w:rPr>
  </w:style>
  <w:style w:type="character" w:customStyle="1" w:styleId="14">
    <w:name w:val="fontstyle41"/>
    <w:uiPriority w:val="0"/>
    <w:rPr>
      <w:rFonts w:ascii="楷体" w:hAnsi="楷体" w:eastAsia="楷体" w:cs="楷体"/>
      <w:color w:val="000000"/>
      <w:sz w:val="32"/>
      <w:szCs w:val="32"/>
    </w:rPr>
  </w:style>
  <w:style w:type="character" w:customStyle="1" w:styleId="15">
    <w:name w:val="批注框文本 Char"/>
    <w:basedOn w:val="6"/>
    <w:link w:val="2"/>
    <w:semiHidden/>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1367</Words>
  <Characters>7796</Characters>
  <Lines>64</Lines>
  <Paragraphs>18</Paragraphs>
  <TotalTime>48</TotalTime>
  <ScaleCrop>false</ScaleCrop>
  <LinksUpToDate>false</LinksUpToDate>
  <CharactersWithSpaces>9145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2017-04-06T02:03:00Z</dcterms:created>
  <dc:creator>Administrator</dc:creator>
  <cp:lastModifiedBy>DELL</cp:lastModifiedBy>
  <cp:lastPrinted>2017-04-26T08:49:00Z</cp:lastPrinted>
  <dcterms:modified xsi:type="dcterms:W3CDTF">2022-09-16T09:56:10Z</dcterms:modified>
  <dc:title>Administrator</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BC4E25A1F8E84865ADC0E704FE8226FB</vt:lpwstr>
  </property>
</Properties>
</file>