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0" w:lineRule="atLeast"/>
        <w:jc w:val="center"/>
        <w:rPr>
          <w:rFonts w:ascii="宋体" w:cs="黑体"/>
          <w:b/>
          <w:sz w:val="44"/>
          <w:szCs w:val="44"/>
          <w:highlight w:val="none"/>
        </w:rPr>
      </w:pPr>
      <w:bookmarkStart w:id="0" w:name="保定白沟新城规划建设局"/>
      <w:bookmarkEnd w:id="0"/>
      <w:r>
        <w:rPr>
          <w:rFonts w:hint="eastAsia" w:ascii="宋体" w:hAnsi="宋体" w:cs="黑体"/>
          <w:b/>
          <w:sz w:val="44"/>
          <w:szCs w:val="44"/>
          <w:highlight w:val="none"/>
        </w:rPr>
        <w:t>白沟镇综合行政执法办公室</w:t>
      </w:r>
    </w:p>
    <w:p>
      <w:pPr>
        <w:spacing w:afterLines="100" w:line="0" w:lineRule="atLeast"/>
        <w:jc w:val="center"/>
        <w:rPr>
          <w:rFonts w:ascii="宋体" w:cs="黑体"/>
          <w:b/>
          <w:sz w:val="44"/>
          <w:szCs w:val="44"/>
          <w:highlight w:val="none"/>
        </w:rPr>
      </w:pPr>
      <w:r>
        <w:rPr>
          <w:rFonts w:ascii="宋体" w:hAnsi="宋体"/>
          <w:b/>
          <w:sz w:val="44"/>
          <w:szCs w:val="44"/>
          <w:highlight w:val="none"/>
        </w:rPr>
        <w:t>20</w:t>
      </w:r>
      <w:r>
        <w:rPr>
          <w:rFonts w:hint="eastAsia" w:ascii="宋体" w:hAnsi="宋体"/>
          <w:b/>
          <w:sz w:val="44"/>
          <w:szCs w:val="44"/>
          <w:highlight w:val="none"/>
        </w:rPr>
        <w:t>21年</w:t>
      </w:r>
      <w:r>
        <w:rPr>
          <w:rFonts w:hint="eastAsia" w:ascii="宋体" w:hAnsi="宋体"/>
          <w:b/>
          <w:sz w:val="44"/>
          <w:szCs w:val="44"/>
          <w:highlight w:val="none"/>
          <w:lang w:eastAsia="zh-CN"/>
        </w:rPr>
        <w:t>单位</w:t>
      </w:r>
      <w:r>
        <w:rPr>
          <w:rFonts w:hint="eastAsia" w:ascii="宋体" w:hAnsi="宋体"/>
          <w:b/>
          <w:sz w:val="44"/>
          <w:szCs w:val="44"/>
          <w:highlight w:val="none"/>
        </w:rPr>
        <w:t>预算信息公开</w:t>
      </w:r>
    </w:p>
    <w:p>
      <w:pPr>
        <w:spacing w:line="520" w:lineRule="exact"/>
        <w:ind w:firstLine="640" w:firstLineChars="200"/>
        <w:jc w:val="left"/>
        <w:rPr>
          <w:rFonts w:ascii="仿宋" w:hAnsi="仿宋" w:eastAsia="仿宋" w:cs="仿宋_GB2312"/>
          <w:sz w:val="32"/>
          <w:szCs w:val="32"/>
          <w:highlight w:val="none"/>
        </w:rPr>
      </w:pPr>
    </w:p>
    <w:p>
      <w:pPr>
        <w:spacing w:line="520" w:lineRule="exact"/>
        <w:ind w:firstLine="1280" w:firstLineChars="400"/>
        <w:jc w:val="left"/>
        <w:rPr>
          <w:rFonts w:ascii="黑体" w:hAnsi="黑体" w:eastAsia="黑体"/>
          <w:sz w:val="32"/>
          <w:szCs w:val="32"/>
          <w:highlight w:val="none"/>
        </w:rPr>
      </w:pPr>
      <w:r>
        <w:rPr>
          <w:rFonts w:hint="eastAsia" w:ascii="仿宋" w:hAnsi="仿宋" w:eastAsia="仿宋" w:cs="仿宋_GB2312"/>
          <w:sz w:val="32"/>
          <w:szCs w:val="32"/>
          <w:highlight w:val="none"/>
        </w:rPr>
        <w:t>按照《预算法》规定，现将白沟镇综合行政执法办公室2021年</w:t>
      </w:r>
      <w:r>
        <w:rPr>
          <w:rFonts w:hint="eastAsia" w:ascii="仿宋" w:hAnsi="仿宋" w:eastAsia="仿宋" w:cs="仿宋_GB2312"/>
          <w:sz w:val="32"/>
          <w:szCs w:val="32"/>
          <w:highlight w:val="none"/>
          <w:lang w:eastAsia="zh-CN"/>
        </w:rPr>
        <w:t>我单位</w:t>
      </w:r>
      <w:r>
        <w:rPr>
          <w:rFonts w:hint="eastAsia" w:ascii="仿宋" w:hAnsi="仿宋" w:eastAsia="仿宋" w:cs="仿宋_GB2312"/>
          <w:sz w:val="32"/>
          <w:szCs w:val="32"/>
          <w:highlight w:val="none"/>
        </w:rPr>
        <w:t>预算公开如下：</w:t>
      </w:r>
    </w:p>
    <w:p>
      <w:pPr>
        <w:spacing w:line="520" w:lineRule="exact"/>
        <w:ind w:firstLine="643" w:firstLineChars="200"/>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单位</w:t>
      </w:r>
      <w:r>
        <w:rPr>
          <w:rFonts w:hint="eastAsia" w:ascii="黑体" w:hAnsi="黑体" w:eastAsia="黑体" w:cs="黑体"/>
          <w:b/>
          <w:bCs/>
          <w:sz w:val="32"/>
          <w:szCs w:val="32"/>
          <w:highlight w:val="none"/>
        </w:rPr>
        <w:t>职责及机构设置情况</w:t>
      </w:r>
    </w:p>
    <w:p>
      <w:pPr>
        <w:ind w:firstLine="1285" w:firstLineChars="4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一、单位职责</w:t>
      </w:r>
    </w:p>
    <w:p>
      <w:pPr>
        <w:pStyle w:val="14"/>
        <w:widowControl/>
        <w:spacing w:line="560" w:lineRule="exact"/>
        <w:ind w:left="64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根据保定白沟新城管理委员会《关于印发规划建设局职能配置、机构设置和人员编制规定的通知》（白管字[2012]90号），现将我单位概况说明如下：</w:t>
      </w:r>
    </w:p>
    <w:p>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（一）贯彻执行国家、省、市城乡规划的法律、法规、规章及有关方针、政策；</w:t>
      </w:r>
    </w:p>
    <w:p>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（二）负责辖区内城乡规划管理的日常工作，拟订有关规划、规定、细则等规范性文件；</w:t>
      </w:r>
    </w:p>
    <w:p>
      <w:pPr>
        <w:pStyle w:val="14"/>
        <w:widowControl/>
        <w:spacing w:line="560" w:lineRule="exact"/>
        <w:ind w:firstLine="960" w:firstLineChars="300"/>
        <w:rPr>
          <w:rFonts w:ascii="仿宋" w:hAnsi="仿宋" w:eastAsia="仿宋" w:cs="仿宋"/>
          <w:sz w:val="32"/>
          <w:szCs w:val="32"/>
          <w:highlight w:val="none"/>
        </w:rPr>
      </w:pPr>
      <w:r>
        <w:rPr>
          <w:rFonts w:hint="eastAsia" w:ascii="仿宋" w:hAnsi="仿宋" w:eastAsia="仿宋" w:cs="仿宋"/>
          <w:sz w:val="32"/>
          <w:szCs w:val="32"/>
          <w:highlight w:val="none"/>
        </w:rPr>
        <w:t>（三）负责辖区内规划行政执法工作；</w:t>
      </w:r>
    </w:p>
    <w:p>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（四）贯彻执行国家、省、市有关城乡建设、城市管理、房地产管理等相关工作的法律、法规、方针、政策；</w:t>
      </w:r>
    </w:p>
    <w:p>
      <w:pPr>
        <w:pStyle w:val="14"/>
        <w:widowControl/>
        <w:spacing w:line="560" w:lineRule="exact"/>
        <w:ind w:left="638" w:leftChars="304"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（五）负责辖区内城乡建设、市政、房地产管理及城市管理等工作，拟定有关规划、规定、条例等规范性文件，并贯彻执行，对日常工作进行监督、检查、指导；</w:t>
      </w:r>
    </w:p>
    <w:p>
      <w:pPr>
        <w:pStyle w:val="1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（六）负责辖区内建设行政执法工作；</w:t>
      </w:r>
    </w:p>
    <w:p>
      <w:pPr>
        <w:pStyle w:val="1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（七）负责拟定和实施城市管理的有关规定；</w:t>
      </w:r>
    </w:p>
    <w:p>
      <w:pPr>
        <w:pStyle w:val="14"/>
        <w:widowControl/>
        <w:numPr>
          <w:ilvl w:val="0"/>
          <w:numId w:val="1"/>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集中行驶城市管理综合执法的有关职责。</w:t>
      </w:r>
    </w:p>
    <w:p>
      <w:pPr>
        <w:rPr>
          <w:rFonts w:ascii="宋体" w:cs="宋体"/>
          <w:b/>
          <w:sz w:val="32"/>
          <w:szCs w:val="32"/>
          <w:highlight w:val="none"/>
        </w:rPr>
      </w:pPr>
    </w:p>
    <w:p>
      <w:pPr>
        <w:spacing w:line="600" w:lineRule="exact"/>
        <w:ind w:left="603" w:leftChars="287" w:firstLine="321" w:firstLineChars="1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二、机构设置</w:t>
      </w:r>
    </w:p>
    <w:p>
      <w:pPr>
        <w:spacing w:line="600" w:lineRule="exact"/>
        <w:ind w:left="603" w:leftChars="287" w:firstLine="181" w:firstLineChars="100"/>
        <w:rPr>
          <w:rFonts w:ascii="宋体" w:hAnsi="宋体" w:cs="宋体"/>
          <w:b/>
          <w:bCs/>
          <w:sz w:val="18"/>
          <w:szCs w:val="18"/>
          <w:highlight w:val="none"/>
        </w:rPr>
      </w:pPr>
    </w:p>
    <w:tbl>
      <w:tblPr>
        <w:tblStyle w:val="9"/>
        <w:tblW w:w="12690"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209"/>
        <w:gridCol w:w="2693"/>
        <w:gridCol w:w="2977"/>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32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26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32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1</w:t>
            </w:r>
          </w:p>
        </w:tc>
        <w:tc>
          <w:tcPr>
            <w:tcW w:w="3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白沟新城白沟镇综合行政执法办公室</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行政</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正科级</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财政拨款</w:t>
            </w:r>
          </w:p>
        </w:tc>
      </w:tr>
    </w:tbl>
    <w:p>
      <w:pPr>
        <w:jc w:val="center"/>
        <w:outlineLvl w:val="0"/>
        <w:rPr>
          <w:rFonts w:ascii="黑体" w:hAnsi="黑体" w:eastAsia="黑体"/>
          <w:b/>
          <w:sz w:val="32"/>
          <w:highlight w:val="none"/>
        </w:rPr>
      </w:pPr>
    </w:p>
    <w:p>
      <w:pPr>
        <w:spacing w:line="520" w:lineRule="exact"/>
        <w:rPr>
          <w:rFonts w:ascii="黑体" w:hAnsi="黑体" w:eastAsia="黑体"/>
          <w:b/>
          <w:sz w:val="32"/>
          <w:highlight w:val="none"/>
        </w:rPr>
      </w:pPr>
    </w:p>
    <w:p>
      <w:pPr>
        <w:spacing w:line="520" w:lineRule="exact"/>
        <w:ind w:left="640" w:firstLine="964" w:firstLineChars="300"/>
        <w:jc w:val="center"/>
        <w:rPr>
          <w:rFonts w:ascii="黑体" w:hAnsi="黑体" w:eastAsia="黑体"/>
          <w:b/>
          <w:sz w:val="32"/>
          <w:highlight w:val="none"/>
        </w:rPr>
      </w:pPr>
      <w:r>
        <w:rPr>
          <w:rFonts w:hint="eastAsia" w:ascii="黑体" w:hAnsi="黑体" w:eastAsia="黑体"/>
          <w:b/>
          <w:sz w:val="32"/>
          <w:highlight w:val="none"/>
        </w:rPr>
        <w:t>第二部分：</w:t>
      </w:r>
      <w:r>
        <w:rPr>
          <w:rFonts w:hint="eastAsia" w:ascii="黑体" w:hAnsi="黑体" w:eastAsia="黑体"/>
          <w:sz w:val="32"/>
          <w:szCs w:val="32"/>
          <w:highlight w:val="none"/>
          <w:lang w:val="en-US" w:eastAsia="zh-CN"/>
        </w:rPr>
        <w:t>单位</w:t>
      </w:r>
      <w:r>
        <w:rPr>
          <w:rFonts w:hint="eastAsia" w:ascii="黑体" w:hAnsi="黑体" w:eastAsia="黑体"/>
          <w:sz w:val="32"/>
          <w:szCs w:val="32"/>
          <w:highlight w:val="none"/>
        </w:rPr>
        <w:t>预算安排的总体情况</w:t>
      </w:r>
    </w:p>
    <w:p>
      <w:pPr>
        <w:numPr>
          <w:ilvl w:val="0"/>
          <w:numId w:val="0"/>
        </w:numPr>
        <w:spacing w:line="520" w:lineRule="exact"/>
        <w:ind w:firstLine="643" w:firstLineChars="200"/>
        <w:rPr>
          <w:rFonts w:ascii="宋体" w:cs="宋体"/>
          <w:b/>
          <w:bCs/>
          <w:sz w:val="32"/>
          <w:szCs w:val="32"/>
          <w:highlight w:val="none"/>
        </w:rPr>
      </w:pPr>
      <w:r>
        <w:rPr>
          <w:rFonts w:hint="eastAsia" w:ascii="宋体" w:hAnsi="宋体" w:cs="宋体"/>
          <w:b/>
          <w:bCs/>
          <w:sz w:val="32"/>
          <w:szCs w:val="32"/>
          <w:highlight w:val="none"/>
          <w:lang w:val="en-US" w:eastAsia="zh-CN"/>
        </w:rPr>
        <w:t>1、</w:t>
      </w:r>
      <w:r>
        <w:rPr>
          <w:rFonts w:hint="eastAsia" w:ascii="宋体" w:hAnsi="宋体" w:cs="宋体"/>
          <w:b/>
          <w:bCs/>
          <w:sz w:val="32"/>
          <w:szCs w:val="32"/>
          <w:highlight w:val="none"/>
        </w:rPr>
        <w:t>收入说明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年初单位收入预算总额</w:t>
      </w:r>
      <w:r>
        <w:rPr>
          <w:rFonts w:hint="eastAsia" w:ascii="仿宋" w:hAnsi="仿宋" w:eastAsia="仿宋"/>
          <w:sz w:val="32"/>
          <w:szCs w:val="32"/>
          <w:highlight w:val="none"/>
          <w:lang w:val="en-US" w:eastAsia="zh-CN"/>
        </w:rPr>
        <w:t>27155.82</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其中：人员经费预算</w:t>
      </w:r>
      <w:r>
        <w:rPr>
          <w:rFonts w:hint="eastAsia" w:ascii="仿宋" w:hAnsi="仿宋" w:eastAsia="仿宋"/>
          <w:sz w:val="32"/>
          <w:szCs w:val="32"/>
          <w:highlight w:val="none"/>
          <w:lang w:val="en-US" w:eastAsia="zh-CN"/>
        </w:rPr>
        <w:t xml:space="preserve"> 502.63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日常公用经费预算</w:t>
      </w:r>
      <w:r>
        <w:rPr>
          <w:rFonts w:hint="eastAsia" w:ascii="仿宋" w:hAnsi="仿宋" w:eastAsia="仿宋"/>
          <w:sz w:val="32"/>
          <w:szCs w:val="32"/>
          <w:highlight w:val="none"/>
          <w:lang w:val="en-US" w:eastAsia="zh-CN"/>
        </w:rPr>
        <w:t xml:space="preserve">  27.36</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专项项目预算</w:t>
      </w:r>
      <w:r>
        <w:rPr>
          <w:rFonts w:hint="eastAsia" w:ascii="仿宋" w:hAnsi="仿宋" w:eastAsia="仿宋"/>
          <w:sz w:val="32"/>
          <w:szCs w:val="32"/>
          <w:highlight w:val="none"/>
          <w:lang w:val="en-US" w:eastAsia="zh-CN"/>
        </w:rPr>
        <w:t xml:space="preserve"> 26625.83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ascii="黑体" w:hAnsi="黑体" w:eastAsia="黑体"/>
          <w:sz w:val="32"/>
          <w:szCs w:val="32"/>
          <w:highlight w:val="none"/>
        </w:rPr>
        <w:t>2</w:t>
      </w:r>
      <w:r>
        <w:rPr>
          <w:rFonts w:hint="eastAsia" w:ascii="黑体" w:hAnsi="黑体" w:eastAsia="黑体"/>
          <w:sz w:val="32"/>
          <w:szCs w:val="32"/>
          <w:highlight w:val="none"/>
        </w:rPr>
        <w:t>、支出说明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单位支出安排预算总额</w:t>
      </w:r>
      <w:r>
        <w:rPr>
          <w:rFonts w:hint="eastAsia" w:ascii="仿宋" w:hAnsi="仿宋" w:eastAsia="仿宋"/>
          <w:sz w:val="32"/>
          <w:szCs w:val="32"/>
          <w:highlight w:val="none"/>
          <w:lang w:val="en-US" w:eastAsia="zh-CN"/>
        </w:rPr>
        <w:t>27155.82</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 xml:space="preserve"> 529.99</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502.63</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hint="eastAsia" w:ascii="仿宋" w:hAnsi="仿宋" w:eastAsia="仿宋"/>
          <w:sz w:val="32"/>
          <w:szCs w:val="32"/>
          <w:highlight w:val="none"/>
          <w:lang w:val="en-US" w:eastAsia="zh-CN"/>
        </w:rPr>
        <w:t>27.36</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 xml:space="preserve"> 26625.83</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 xml:space="preserve"> 27155.82</w:t>
      </w:r>
      <w:r>
        <w:rPr>
          <w:rFonts w:hint="eastAsia" w:ascii="仿宋" w:hAnsi="仿宋" w:eastAsia="仿宋"/>
          <w:sz w:val="32"/>
          <w:szCs w:val="32"/>
          <w:highlight w:val="none"/>
        </w:rPr>
        <w:t>万元</w:t>
      </w:r>
    </w:p>
    <w:p>
      <w:pPr>
        <w:tabs>
          <w:tab w:val="left" w:pos="916"/>
        </w:tabs>
        <w:spacing w:line="56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3</w:t>
      </w:r>
      <w:r>
        <w:rPr>
          <w:rFonts w:hint="eastAsia" w:ascii="黑体" w:hAnsi="黑体" w:eastAsia="黑体"/>
          <w:sz w:val="32"/>
          <w:szCs w:val="32"/>
          <w:highlight w:val="none"/>
        </w:rPr>
        <w:t>、与上年增减情况</w:t>
      </w:r>
    </w:p>
    <w:p>
      <w:pPr>
        <w:tabs>
          <w:tab w:val="left" w:pos="916"/>
        </w:tabs>
        <w:spacing w:line="560" w:lineRule="exact"/>
        <w:jc w:val="left"/>
        <w:rPr>
          <w:rFonts w:hint="default" w:ascii="黑体" w:hAnsi="黑体" w:eastAsia="黑体"/>
          <w:b/>
          <w:sz w:val="32"/>
          <w:highlight w:val="none"/>
          <w:lang w:val="en-US"/>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 xml:space="preserve"> 27155.82</w:t>
      </w:r>
      <w:r>
        <w:rPr>
          <w:rFonts w:hint="eastAsia" w:ascii="仿宋" w:hAnsi="仿宋" w:eastAsia="仿宋"/>
          <w:sz w:val="32"/>
          <w:szCs w:val="32"/>
          <w:highlight w:val="none"/>
        </w:rPr>
        <w:t>万元，较上年增加</w:t>
      </w:r>
      <w:r>
        <w:rPr>
          <w:rFonts w:hint="eastAsia" w:ascii="仿宋" w:hAnsi="仿宋" w:eastAsia="仿宋"/>
          <w:sz w:val="32"/>
          <w:szCs w:val="32"/>
          <w:highlight w:val="none"/>
          <w:lang w:val="en-US" w:eastAsia="zh-CN"/>
        </w:rPr>
        <w:t>11693.81</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2021年年初单位收入预算总额35956.41万元。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其中：人员经费预算 888.66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日常公用经费预算 53.75万元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专项项目预算35014万元</w:t>
      </w:r>
    </w:p>
    <w:p>
      <w:pPr>
        <w:spacing w:line="520" w:lineRule="exact"/>
        <w:ind w:firstLine="643" w:firstLineChars="200"/>
        <w:rPr>
          <w:rFonts w:ascii="仿宋" w:hAnsi="仿宋" w:eastAsia="仿宋"/>
          <w:b/>
          <w:bCs/>
          <w:sz w:val="32"/>
          <w:szCs w:val="32"/>
          <w:highlight w:val="none"/>
        </w:rPr>
      </w:pPr>
      <w:r>
        <w:rPr>
          <w:rFonts w:ascii="黑体" w:hAnsi="黑体" w:eastAsia="黑体"/>
          <w:b/>
          <w:bCs/>
          <w:sz w:val="32"/>
          <w:szCs w:val="32"/>
          <w:highlight w:val="none"/>
        </w:rPr>
        <w:t>2</w:t>
      </w:r>
      <w:r>
        <w:rPr>
          <w:rFonts w:hint="eastAsia" w:ascii="黑体" w:hAnsi="黑体" w:eastAsia="黑体"/>
          <w:b/>
          <w:bCs/>
          <w:sz w:val="32"/>
          <w:szCs w:val="32"/>
          <w:highlight w:val="none"/>
        </w:rPr>
        <w:t>、支出说明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2021年单位支出安排预算总额35956.41万元。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 942.41万元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rPr>
        <w:t>888.66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rPr>
        <w:t>53.75万元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项目支出35014万元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其中：本级支出35014万元</w:t>
      </w:r>
    </w:p>
    <w:p>
      <w:pPr>
        <w:tabs>
          <w:tab w:val="left" w:pos="916"/>
        </w:tabs>
        <w:spacing w:line="560" w:lineRule="exact"/>
        <w:ind w:firstLine="643" w:firstLineChars="200"/>
        <w:jc w:val="left"/>
        <w:rPr>
          <w:rFonts w:ascii="黑体" w:hAnsi="黑体" w:eastAsia="黑体"/>
          <w:b/>
          <w:bCs/>
          <w:sz w:val="32"/>
          <w:szCs w:val="32"/>
          <w:highlight w:val="none"/>
        </w:rPr>
      </w:pPr>
      <w:r>
        <w:rPr>
          <w:rFonts w:ascii="黑体" w:hAnsi="黑体" w:eastAsia="黑体"/>
          <w:b/>
          <w:bCs/>
          <w:sz w:val="32"/>
          <w:szCs w:val="32"/>
          <w:highlight w:val="none"/>
        </w:rPr>
        <w:t>3</w:t>
      </w:r>
      <w:r>
        <w:rPr>
          <w:rFonts w:hint="eastAsia" w:ascii="黑体" w:hAnsi="黑体" w:eastAsia="黑体"/>
          <w:b/>
          <w:bCs/>
          <w:sz w:val="32"/>
          <w:szCs w:val="32"/>
          <w:highlight w:val="none"/>
        </w:rPr>
        <w:t>、与上年增减情况</w:t>
      </w:r>
    </w:p>
    <w:p>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highlight w:val="none"/>
        </w:rPr>
        <w:t>　　本年度预算收支安排35956.41万元，较上年增加20494.4万元。</w:t>
      </w:r>
    </w:p>
    <w:p>
      <w:pPr>
        <w:autoSpaceDE w:val="0"/>
        <w:autoSpaceDN w:val="0"/>
        <w:adjustRightInd w:val="0"/>
        <w:spacing w:line="600" w:lineRule="exact"/>
        <w:ind w:firstLine="640"/>
        <w:jc w:val="center"/>
        <w:rPr>
          <w:rFonts w:ascii="黑体" w:hAnsi="黑体" w:eastAsia="黑体" w:cs="仿宋"/>
          <w:b/>
          <w:sz w:val="32"/>
          <w:szCs w:val="32"/>
          <w:highlight w:val="none"/>
        </w:rPr>
      </w:pPr>
    </w:p>
    <w:p>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pPr>
        <w:ind w:firstLine="600" w:firstLineChars="200"/>
        <w:rPr>
          <w:rFonts w:ascii="仿宋" w:hAnsi="仿宋" w:eastAsia="仿宋" w:cs="宋体"/>
          <w:sz w:val="30"/>
          <w:szCs w:val="30"/>
          <w:highlight w:val="none"/>
        </w:rPr>
      </w:pPr>
    </w:p>
    <w:p>
      <w:pPr>
        <w:ind w:firstLine="600" w:firstLineChars="200"/>
        <w:rPr>
          <w:rFonts w:hint="default" w:ascii="黑体" w:hAnsi="黑体" w:eastAsia="黑体" w:cs="仿宋"/>
          <w:b/>
          <w:sz w:val="32"/>
          <w:szCs w:val="32"/>
          <w:highlight w:val="none"/>
          <w:lang w:val="en-US"/>
        </w:rPr>
      </w:pPr>
      <w:r>
        <w:rPr>
          <w:rFonts w:hint="eastAsia" w:ascii="仿宋" w:hAnsi="仿宋" w:eastAsia="仿宋" w:cs="宋体"/>
          <w:sz w:val="30"/>
          <w:szCs w:val="30"/>
          <w:highlight w:val="none"/>
        </w:rPr>
        <w:t>我</w:t>
      </w:r>
      <w:r>
        <w:rPr>
          <w:rFonts w:hint="eastAsia" w:ascii="仿宋" w:hAnsi="仿宋" w:eastAsia="仿宋" w:cs="宋体"/>
          <w:sz w:val="30"/>
          <w:szCs w:val="30"/>
          <w:highlight w:val="none"/>
          <w:lang w:eastAsia="zh-CN"/>
        </w:rPr>
        <w:t>单位</w:t>
      </w:r>
      <w:r>
        <w:rPr>
          <w:rFonts w:hint="eastAsia" w:ascii="仿宋" w:hAnsi="仿宋" w:eastAsia="仿宋" w:cs="宋体"/>
          <w:sz w:val="30"/>
          <w:szCs w:val="30"/>
          <w:highlight w:val="none"/>
        </w:rPr>
        <w:t>机关运行经费安排资金</w:t>
      </w:r>
      <w:r>
        <w:rPr>
          <w:rFonts w:hint="eastAsia" w:ascii="仿宋" w:hAnsi="仿宋" w:eastAsia="仿宋" w:cs="宋体"/>
          <w:sz w:val="30"/>
          <w:szCs w:val="30"/>
          <w:highlight w:val="none"/>
          <w:lang w:val="en-US" w:eastAsia="zh-CN"/>
        </w:rPr>
        <w:t xml:space="preserve"> 27.36</w:t>
      </w:r>
      <w:r>
        <w:rPr>
          <w:rFonts w:hint="eastAsia" w:ascii="仿宋" w:hAnsi="仿宋" w:eastAsia="仿宋" w:cs="宋体"/>
          <w:sz w:val="30"/>
          <w:szCs w:val="30"/>
          <w:highlight w:val="none"/>
        </w:rPr>
        <w:t>万元，其中办公费</w:t>
      </w:r>
      <w:r>
        <w:rPr>
          <w:rFonts w:hint="eastAsia" w:ascii="仿宋" w:hAnsi="仿宋" w:eastAsia="仿宋" w:cs="宋体"/>
          <w:sz w:val="30"/>
          <w:szCs w:val="30"/>
          <w:highlight w:val="none"/>
          <w:lang w:val="en-US" w:eastAsia="zh-CN"/>
        </w:rPr>
        <w:t xml:space="preserve">5.11 </w:t>
      </w:r>
      <w:r>
        <w:rPr>
          <w:rFonts w:hint="eastAsia" w:ascii="仿宋" w:hAnsi="仿宋" w:eastAsia="仿宋" w:cs="宋体"/>
          <w:sz w:val="30"/>
          <w:szCs w:val="30"/>
          <w:highlight w:val="none"/>
        </w:rPr>
        <w:t>万</w:t>
      </w:r>
      <w:r>
        <w:rPr>
          <w:rFonts w:hint="eastAsia" w:ascii="仿宋" w:hAnsi="仿宋" w:eastAsia="仿宋" w:cs="宋体"/>
          <w:sz w:val="30"/>
          <w:szCs w:val="30"/>
          <w:highlight w:val="none"/>
          <w:lang w:val="en-US" w:eastAsia="zh-CN"/>
        </w:rPr>
        <w:t>元，印刷费0.5万元，水费1.5万元，电费3.5万元，邮电费2.52万元，差旅费3万元，维修（护）费1.5万元，会议费0.37万元，工会经费4.01万元，福利费4.33万元，退休费0.45万元，其他商品和服务支出0.57万元。</w:t>
      </w:r>
    </w:p>
    <w:p>
      <w:pPr>
        <w:ind w:firstLine="600" w:firstLineChars="200"/>
        <w:rPr>
          <w:rFonts w:ascii="仿宋" w:hAnsi="仿宋" w:eastAsia="仿宋" w:cs="宋体"/>
          <w:sz w:val="30"/>
          <w:szCs w:val="30"/>
          <w:highlight w:val="none"/>
        </w:rPr>
      </w:pPr>
    </w:p>
    <w:p>
      <w:pPr>
        <w:autoSpaceDE w:val="0"/>
        <w:autoSpaceDN w:val="0"/>
        <w:adjustRightInd w:val="0"/>
        <w:spacing w:line="600" w:lineRule="exact"/>
        <w:ind w:firstLine="2891" w:firstLineChars="9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财政拨款“三公经费”预算数</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万元。</w:t>
      </w:r>
    </w:p>
    <w:tbl>
      <w:tblPr>
        <w:tblStyle w:val="9"/>
        <w:tblW w:w="1360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2"/>
        <w:gridCol w:w="2268"/>
        <w:gridCol w:w="2268"/>
        <w:gridCol w:w="2410"/>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3608"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02" w:type="dxa"/>
            <w:tcBorders>
              <w:top w:val="nil"/>
              <w:left w:val="nil"/>
              <w:bottom w:val="nil"/>
              <w:right w:val="nil"/>
            </w:tcBorders>
            <w:vAlign w:val="center"/>
          </w:tcPr>
          <w:p>
            <w:pPr>
              <w:widowControl/>
              <w:jc w:val="left"/>
              <w:rPr>
                <w:rFonts w:ascii="宋体" w:cs="宋体"/>
                <w:kern w:val="0"/>
                <w:sz w:val="24"/>
                <w:highlight w:val="none"/>
              </w:rPr>
            </w:pPr>
          </w:p>
        </w:tc>
        <w:tc>
          <w:tcPr>
            <w:tcW w:w="2268" w:type="dxa"/>
            <w:tcBorders>
              <w:top w:val="nil"/>
              <w:left w:val="nil"/>
              <w:bottom w:val="nil"/>
              <w:right w:val="nil"/>
            </w:tcBorders>
            <w:vAlign w:val="center"/>
          </w:tcPr>
          <w:p>
            <w:pPr>
              <w:widowControl/>
              <w:jc w:val="left"/>
              <w:rPr>
                <w:rFonts w:ascii="宋体" w:cs="宋体"/>
                <w:kern w:val="0"/>
                <w:sz w:val="24"/>
                <w:highlight w:val="none"/>
              </w:rPr>
            </w:pPr>
          </w:p>
        </w:tc>
        <w:tc>
          <w:tcPr>
            <w:tcW w:w="2268" w:type="dxa"/>
            <w:tcBorders>
              <w:top w:val="nil"/>
              <w:left w:val="nil"/>
              <w:bottom w:val="nil"/>
              <w:right w:val="nil"/>
            </w:tcBorders>
            <w:vAlign w:val="center"/>
          </w:tcPr>
          <w:p>
            <w:pPr>
              <w:widowControl/>
              <w:jc w:val="left"/>
              <w:rPr>
                <w:rFonts w:ascii="宋体" w:cs="宋体"/>
                <w:kern w:val="0"/>
                <w:sz w:val="24"/>
                <w:highlight w:val="none"/>
              </w:rPr>
            </w:pPr>
          </w:p>
        </w:tc>
        <w:tc>
          <w:tcPr>
            <w:tcW w:w="2410" w:type="dxa"/>
            <w:tcBorders>
              <w:top w:val="nil"/>
              <w:left w:val="nil"/>
              <w:bottom w:val="nil"/>
              <w:right w:val="nil"/>
            </w:tcBorders>
            <w:vAlign w:val="center"/>
          </w:tcPr>
          <w:p>
            <w:pPr>
              <w:widowControl/>
              <w:jc w:val="left"/>
              <w:rPr>
                <w:rFonts w:ascii="宋体" w:cs="宋体"/>
                <w:kern w:val="0"/>
                <w:sz w:val="24"/>
                <w:highlight w:val="none"/>
              </w:rPr>
            </w:pPr>
          </w:p>
        </w:tc>
        <w:tc>
          <w:tcPr>
            <w:tcW w:w="3260" w:type="dxa"/>
            <w:tcBorders>
              <w:top w:val="nil"/>
              <w:left w:val="nil"/>
              <w:bottom w:val="nil"/>
              <w:right w:val="nil"/>
            </w:tcBorders>
            <w:vAlign w:val="center"/>
          </w:tcPr>
          <w:p>
            <w:pPr>
              <w:widowControl/>
              <w:jc w:val="right"/>
              <w:rPr>
                <w:rFonts w:ascii="宋体" w:cs="宋体"/>
                <w:kern w:val="0"/>
                <w:sz w:val="24"/>
                <w:highlight w:val="none"/>
              </w:rPr>
            </w:pPr>
            <w:r>
              <w:rPr>
                <w:rFonts w:hint="eastAsia" w:ascii="宋体" w:hAnsi="宋体" w:cs="宋体"/>
                <w:kern w:val="0"/>
                <w:sz w:val="24"/>
                <w:highlight w:val="non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2020年度预算</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2021年度预算</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 xml:space="preserve"> </w:t>
            </w: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合计</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bl>
    <w:p>
      <w:pPr>
        <w:jc w:val="center"/>
        <w:outlineLvl w:val="0"/>
        <w:rPr>
          <w:rFonts w:ascii="宋体"/>
          <w:b/>
          <w:bCs w:val="0"/>
          <w:highlight w:val="none"/>
        </w:rPr>
      </w:pPr>
      <w:r>
        <w:rPr>
          <w:rFonts w:hint="eastAsia" w:ascii="黑体" w:hAnsi="黑体" w:eastAsia="黑体"/>
          <w:b/>
          <w:bCs w:val="0"/>
          <w:sz w:val="32"/>
          <w:highlight w:val="none"/>
        </w:rPr>
        <w:t>第五部分：绩效预算信息</w:t>
      </w:r>
    </w:p>
    <w:p>
      <w:pPr>
        <w:numPr>
          <w:ilvl w:val="0"/>
          <w:numId w:val="2"/>
        </w:numPr>
        <w:ind w:firstLine="643" w:firstLineChars="200"/>
        <w:jc w:val="left"/>
        <w:outlineLvl w:val="1"/>
        <w:rPr>
          <w:rFonts w:ascii="黑体" w:hAnsi="黑体" w:eastAsia="黑体"/>
          <w:b/>
          <w:bCs/>
          <w:sz w:val="32"/>
          <w:szCs w:val="32"/>
          <w:highlight w:val="none"/>
        </w:rPr>
      </w:pPr>
      <w:r>
        <w:rPr>
          <w:rFonts w:hint="eastAsia" w:ascii="黑体" w:hAnsi="黑体" w:eastAsia="黑体"/>
          <w:b/>
          <w:bCs/>
          <w:sz w:val="32"/>
          <w:szCs w:val="32"/>
          <w:highlight w:val="none"/>
        </w:rPr>
        <w:t>单位整体绩效目标</w:t>
      </w:r>
    </w:p>
    <w:p>
      <w:pPr>
        <w:ind w:firstLine="643" w:firstLineChars="2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（一）总体绩效目标</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1、加强村镇建设，改善农村人居环境，实现城乡统筹发展。</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2、城镇古树名木和风景名胜、历史文化名城和街区得到有效保护。</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3、提高既有居住建筑的保温性能。评选备案项目，完善省级能耗监测平台，建立市级中转平台，实现能耗数据采集、传输、统计等功能。经改造的公共建筑达到节能标准。积累新技术新体系应用经验</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4、加强城区管理，改善居住环境，实现城乡统筹发展。</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5、通过督导检查全县安全生产，最大限度地发现、纠正、督促企业消除各类隐患，预防和减少事故的发生，确保全县安全生产形势持续稳定好转。</w:t>
      </w:r>
    </w:p>
    <w:p>
      <w:pPr>
        <w:spacing w:line="500" w:lineRule="exact"/>
        <w:ind w:left="640"/>
        <w:jc w:val="left"/>
        <w:rPr>
          <w:rFonts w:ascii="仿宋" w:hAnsi="仿宋" w:eastAsia="仿宋" w:cs="仿宋"/>
          <w:sz w:val="32"/>
          <w:szCs w:val="32"/>
          <w:highlight w:val="none"/>
        </w:rPr>
      </w:pPr>
      <w:r>
        <w:rPr>
          <w:rFonts w:hint="eastAsia" w:ascii="仿宋" w:hAnsi="仿宋" w:eastAsia="仿宋" w:cs="仿宋"/>
          <w:sz w:val="32"/>
          <w:szCs w:val="32"/>
          <w:highlight w:val="none"/>
        </w:rPr>
        <w:t>6、加快数字化城管平台建设，实现城市管理信息化。</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7、完成本级规划编制，健全规划体系。</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8、理顺应急救援工作机制，推动应急救援指挥中心和应急平台建设，提高突发事件的应急救援能力，保证政府及时采取应对措施，避免或降低事故及其危害程度。</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9、通过督导检查全市安全生产，最大限度地发现、纠正、督促企业消除各类隐患，预防和减少事故的发生，确保全市安全生产形势持续稳定好转。</w:t>
      </w:r>
    </w:p>
    <w:p>
      <w:pPr>
        <w:pStyle w:val="15"/>
        <w:numPr>
          <w:ilvl w:val="0"/>
          <w:numId w:val="3"/>
        </w:numPr>
        <w:spacing w:line="500" w:lineRule="exact"/>
        <w:ind w:firstLineChars="0"/>
        <w:jc w:val="left"/>
        <w:rPr>
          <w:rFonts w:ascii="仿宋" w:hAnsi="仿宋" w:eastAsia="仿宋" w:cs="仿宋"/>
          <w:sz w:val="32"/>
          <w:szCs w:val="32"/>
          <w:highlight w:val="none"/>
        </w:rPr>
      </w:pPr>
      <w:r>
        <w:rPr>
          <w:rFonts w:hint="eastAsia" w:ascii="仿宋" w:hAnsi="仿宋" w:eastAsia="仿宋" w:cs="仿宋"/>
          <w:sz w:val="32"/>
          <w:szCs w:val="32"/>
          <w:highlight w:val="none"/>
        </w:rPr>
        <w:t>保障全区环境卫生工作正常高效运转。</w:t>
      </w:r>
    </w:p>
    <w:p>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（二）分项绩效目标</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、加强城乡规划管理、协调城乡空间布局，改善人居环境， 促进城乡经济社会全面协调可持续发展。</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、加强管理，提高城市承载能力和宜居度。加强村镇建设，改善农村人居环境，实现城乡统筹发展。协调和指导推进城镇化工作吗，加强城镇化进程。</w:t>
      </w:r>
    </w:p>
    <w:p>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加强城区</w:t>
      </w:r>
      <w:r>
        <w:rPr>
          <w:rFonts w:hint="eastAsia" w:ascii="仿宋" w:hAnsi="仿宋" w:eastAsia="仿宋" w:cs="仿宋"/>
          <w:sz w:val="32"/>
          <w:szCs w:val="32"/>
          <w:highlight w:val="none"/>
          <w:lang w:val="en-US" w:eastAsia="zh-CN"/>
        </w:rPr>
        <w:t>综合事务</w:t>
      </w:r>
      <w:r>
        <w:rPr>
          <w:rFonts w:hint="eastAsia" w:ascii="仿宋" w:hAnsi="仿宋" w:eastAsia="仿宋" w:cs="仿宋"/>
          <w:sz w:val="32"/>
          <w:szCs w:val="32"/>
          <w:highlight w:val="none"/>
        </w:rPr>
        <w:t>管理，改善居住环境，实现城乡统筹发展。</w:t>
      </w:r>
    </w:p>
    <w:p>
      <w:pPr>
        <w:spacing w:line="5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4、加强环境卫生与大汽污染治理。</w:t>
      </w:r>
    </w:p>
    <w:p>
      <w:pPr>
        <w:numPr>
          <w:ilvl w:val="0"/>
          <w:numId w:val="0"/>
        </w:numPr>
        <w:ind w:firstLine="640" w:firstLineChars="200"/>
        <w:jc w:val="left"/>
        <w:outlineLvl w:val="1"/>
        <w:rPr>
          <w:rFonts w:hint="eastAsia" w:ascii="楷体" w:hAnsi="楷体" w:eastAsia="楷体"/>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、提高建设科技对住房城乡建设发展的贡献率，充分发挥建筑节能在城镇节能减排中的作用。</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作用。</w:t>
      </w:r>
    </w:p>
    <w:p>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（三）工作保障措施</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1、指导和协调全市政务公开及政务服务中心建设、推进行政服务体系标准化建设工作；推进、指导、协调、监督市政府信息公开工作。</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2、城区绿地、公园、树木的保护；占用城区园林、绿地和树木伐移的审批，参与对城区重点建设项目的园林绿化设计和绿地率的审核认定；对城区园林绿化工程的建设进行管理监督；指导城区全民绿化。</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、指导城市燃气、热力、垃圾处理等设施建设，指导市政公用设施安全和应急管理；推进供热计量改革，开展燃气行业安全监督检查。</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pPr>
        <w:rPr>
          <w:rFonts w:ascii="黑体" w:hAnsi="黑体" w:eastAsia="黑体"/>
          <w:b/>
          <w:sz w:val="32"/>
          <w:szCs w:val="32"/>
          <w:highlight w:val="none"/>
        </w:rPr>
      </w:pPr>
      <w:r>
        <w:rPr>
          <w:rFonts w:hint="eastAsia" w:ascii="楷体" w:hAnsi="楷体" w:eastAsia="楷体" w:cs="楷体"/>
          <w:color w:val="000000"/>
          <w:sz w:val="32"/>
          <w:szCs w:val="32"/>
          <w:highlight w:val="none"/>
        </w:rPr>
        <w:t xml:space="preserve"> </w:t>
      </w:r>
      <w:r>
        <w:rPr>
          <w:rFonts w:hint="eastAsia" w:ascii="黑体" w:hAnsi="黑体" w:eastAsia="黑体"/>
          <w:b/>
          <w:sz w:val="32"/>
          <w:szCs w:val="32"/>
          <w:highlight w:val="none"/>
        </w:rPr>
        <w:t xml:space="preserve">  </w:t>
      </w:r>
    </w:p>
    <w:p>
      <w:pPr>
        <w:rPr>
          <w:rFonts w:ascii="黑体" w:hAnsi="黑体" w:eastAsia="黑体"/>
          <w:b/>
          <w:sz w:val="32"/>
          <w:szCs w:val="32"/>
          <w:highlight w:val="none"/>
        </w:rPr>
      </w:pPr>
    </w:p>
    <w:p>
      <w:pPr>
        <w:rPr>
          <w:rFonts w:ascii="黑体" w:hAnsi="黑体" w:eastAsia="黑体"/>
          <w:b/>
          <w:sz w:val="32"/>
          <w:szCs w:val="32"/>
          <w:highlight w:val="none"/>
        </w:rPr>
      </w:pPr>
    </w:p>
    <w:p>
      <w:pPr>
        <w:numPr>
          <w:ilvl w:val="0"/>
          <w:numId w:val="2"/>
        </w:numPr>
        <w:ind w:left="0" w:leftChars="0"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预算项目绩效目标</w:t>
      </w:r>
      <w:r>
        <w:rPr>
          <w:rFonts w:hint="eastAsia" w:ascii="黑体" w:hAnsi="黑体" w:eastAsia="黑体" w:cs="黑体"/>
          <w:sz w:val="32"/>
          <w:szCs w:val="32"/>
          <w:highlight w:val="none"/>
          <w:lang w:val="en-US" w:eastAsia="zh-CN"/>
        </w:rPr>
        <w:t>1</w:t>
      </w:r>
    </w:p>
    <w:p>
      <w:pPr>
        <w:numPr>
          <w:ilvl w:val="0"/>
          <w:numId w:val="0"/>
        </w:numPr>
        <w:ind w:leftChars="200"/>
        <w:rPr>
          <w:rFonts w:ascii="Times New Roman" w:hAnsi="宋体"/>
          <w:b/>
          <w:sz w:val="28"/>
          <w:highlight w:val="none"/>
        </w:rPr>
      </w:pPr>
      <w:r>
        <w:rPr>
          <w:rFonts w:hint="eastAsia" w:ascii="方正仿宋_GBK" w:eastAsia="方正仿宋_GBK"/>
          <w:b/>
          <w:sz w:val="28"/>
          <w:highlight w:val="none"/>
          <w:lang w:val="en-US" w:eastAsia="zh-CN"/>
        </w:rPr>
        <w:t>1</w:t>
      </w:r>
      <w:r>
        <w:rPr>
          <w:rFonts w:hint="eastAsia" w:ascii="方正仿宋_GBK" w:eastAsia="方正仿宋_GBK"/>
          <w:b/>
          <w:sz w:val="28"/>
          <w:highlight w:val="none"/>
        </w:rPr>
        <w:t>、综合执法雨污分流资金（国债）绩效目标表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加强城区建设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改造人居环境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完成时间</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项目预算控制数</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社会影响力</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促进生态文明建设，推动绿色发展和绿色生活方式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项目持续发挥作用期限</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群众对当年农村公益电影放映的整体满意度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群众对当年农村公益电影放映的整体满意度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群众满意数量占总数的比例。</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2</w:t>
      </w:r>
      <w:r>
        <w:rPr>
          <w:rFonts w:hint="eastAsia" w:ascii="方正仿宋_GBK" w:eastAsia="方正仿宋_GBK"/>
          <w:b/>
          <w:sz w:val="28"/>
          <w:highlight w:val="none"/>
        </w:rPr>
        <w:t>、迎宾大道墙体涂装及户外广告翻新绩效目标表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城区市容市貌综合整治</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加快数字化城管平台建设，实现城市管理信息化</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整治完成率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整治完成率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190</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保障工作顺利完成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改善城区生活环境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改善城区生活环境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业务办理率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业务办理情况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主管单位、群众满意度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3</w:t>
      </w:r>
      <w:r>
        <w:rPr>
          <w:rFonts w:hint="eastAsia" w:ascii="方正仿宋_GBK" w:eastAsia="方正仿宋_GBK"/>
          <w:b/>
          <w:sz w:val="28"/>
          <w:highlight w:val="none"/>
        </w:rPr>
        <w:t>、园林绿化带 行道养护用水资金绩效目标表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保障城区绿化工作顺利开展</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加快城乡建设</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通过采三方询价的方式来节约成本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78%</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群众满意数量占总数量的比例</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4</w:t>
      </w:r>
      <w:r>
        <w:rPr>
          <w:rFonts w:hint="eastAsia" w:ascii="方正仿宋_GBK" w:eastAsia="方正仿宋_GBK"/>
          <w:b/>
          <w:sz w:val="28"/>
          <w:highlight w:val="none"/>
        </w:rPr>
        <w:t>、农村市场化资金绩效目标表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农村市场化保洁</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美化环境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验收通过率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98%</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556.42</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生态环境持续改善</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jc w:val="left"/>
        <w:rPr>
          <w:rFonts w:hint="eastAsia" w:ascii="方正仿宋_GBK" w:eastAsia="方正仿宋_GBK"/>
          <w:b/>
          <w:sz w:val="28"/>
          <w:highlight w:val="none"/>
          <w:lang w:val="en-US" w:eastAsia="zh-CN"/>
        </w:rPr>
      </w:pPr>
    </w:p>
    <w:p>
      <w:pPr>
        <w:jc w:val="left"/>
        <w:rPr>
          <w:rFonts w:ascii="Times New Roman" w:hAnsi="宋体"/>
          <w:b/>
          <w:sz w:val="28"/>
          <w:highlight w:val="none"/>
        </w:rPr>
      </w:pPr>
      <w:r>
        <w:rPr>
          <w:rFonts w:hint="eastAsia" w:ascii="方正仿宋_GBK" w:eastAsia="方正仿宋_GBK"/>
          <w:b/>
          <w:sz w:val="28"/>
          <w:highlight w:val="none"/>
          <w:lang w:val="en-US" w:eastAsia="zh-CN"/>
        </w:rPr>
        <w:t>5</w:t>
      </w:r>
      <w:r>
        <w:rPr>
          <w:rFonts w:hint="eastAsia" w:ascii="方正仿宋_GBK" w:eastAsia="方正仿宋_GBK"/>
          <w:b/>
          <w:sz w:val="28"/>
          <w:highlight w:val="none"/>
        </w:rPr>
        <w:t>、综合执法劳务派遣资金绩效目标表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保障劳务派遣人员工资保险按时发放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保工作正常运行</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提升综合管理水平</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总人数</w:t>
            </w:r>
            <w:r>
              <w:rPr>
                <w:rFonts w:ascii="方正书宋_GBK" w:eastAsia="方正书宋_GBK"/>
                <w:highlight w:val="none"/>
              </w:rPr>
              <w:t>96</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按月发放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年度总费用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年度总费用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人员稳定开展工作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工作正常开展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保障工业行业管理工作开展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消防救援人员满意度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6</w:t>
      </w:r>
      <w:r>
        <w:rPr>
          <w:rFonts w:hint="eastAsia" w:ascii="方正仿宋_GBK" w:eastAsia="方正仿宋_GBK"/>
          <w:b/>
          <w:sz w:val="28"/>
          <w:highlight w:val="none"/>
        </w:rPr>
        <w:t>、综合执法办公室临时人员工资及保险(21人)绩效目标表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按时发放人员工资</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按时缴纳保险</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保工作正常运行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发放工资人数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发放工资人数</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39</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按时按标准发放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按时缴纳保险</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122.42</w:t>
            </w:r>
            <w:r>
              <w:rPr>
                <w:rFonts w:hint="eastAsia" w:ascii="方正书宋_GBK" w:eastAsia="方正书宋_GBK"/>
                <w:highlight w:val="none"/>
              </w:rPr>
              <w:t>万元</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保障正常办公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保障正常办公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业务保障能力提升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对职工福利满意度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7</w:t>
      </w:r>
      <w:r>
        <w:rPr>
          <w:rFonts w:hint="eastAsia" w:ascii="方正仿宋_GBK" w:eastAsia="方正仿宋_GBK"/>
          <w:b/>
          <w:sz w:val="28"/>
          <w:highlight w:val="none"/>
        </w:rPr>
        <w:t>、城区夜景亮化2绩效目标表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夜景亮化</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亮化建设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亮化建设</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8</w:t>
      </w:r>
      <w:r>
        <w:rPr>
          <w:rFonts w:hint="eastAsia" w:ascii="方正仿宋_GBK" w:eastAsia="方正仿宋_GBK"/>
          <w:b/>
          <w:sz w:val="28"/>
          <w:highlight w:val="none"/>
        </w:rPr>
        <w:t>、污水处理运营费绩效目标表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保城区环境卫生干净</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保护水环境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水质量达标率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水质量达标率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总成本</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3500</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保障群众生活安全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保障群众生活安全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单位人员对日常保障工作的满意程度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9</w:t>
      </w:r>
      <w:r>
        <w:rPr>
          <w:rFonts w:hint="eastAsia" w:ascii="方正仿宋_GBK" w:eastAsia="方正仿宋_GBK"/>
          <w:b/>
          <w:sz w:val="28"/>
          <w:highlight w:val="none"/>
        </w:rPr>
        <w:t>、一区三边拆后修复资金绩效目标表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完成本级规划编制，健全规划体系</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改变城区整体形象</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修复数量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修复数量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完工及时性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完工及时性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25</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改善城区生态环境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改善城区生态环境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保障工作持续开展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保障工作持续开展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1</w:t>
      </w:r>
      <w:r>
        <w:rPr>
          <w:rFonts w:hint="eastAsia" w:ascii="方正仿宋_GBK" w:eastAsia="方正仿宋_GBK"/>
          <w:b/>
          <w:sz w:val="28"/>
          <w:highlight w:val="none"/>
          <w:lang w:val="en-US" w:eastAsia="zh-CN"/>
        </w:rPr>
        <w:t>0</w:t>
      </w:r>
      <w:r>
        <w:rPr>
          <w:rFonts w:hint="eastAsia" w:ascii="方正仿宋_GBK" w:eastAsia="方正仿宋_GBK"/>
          <w:b/>
          <w:sz w:val="28"/>
          <w:highlight w:val="none"/>
        </w:rPr>
        <w:t>、城市建设亮化2绩效目标表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城区亮化建设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按装数量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按装数量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1</w:t>
      </w:r>
      <w:r>
        <w:rPr>
          <w:rFonts w:hint="eastAsia" w:ascii="方正仿宋_GBK" w:eastAsia="方正仿宋_GBK"/>
          <w:b/>
          <w:sz w:val="28"/>
          <w:highlight w:val="none"/>
          <w:lang w:val="en-US" w:eastAsia="zh-CN"/>
        </w:rPr>
        <w:t>1</w:t>
      </w:r>
      <w:r>
        <w:rPr>
          <w:rFonts w:hint="eastAsia" w:ascii="方正仿宋_GBK" w:eastAsia="方正仿宋_GBK"/>
          <w:b/>
          <w:sz w:val="28"/>
          <w:highlight w:val="none"/>
        </w:rPr>
        <w:t>、市政维修道路便道排水管网地下水管维修及防汛物资劳保工具日常资金绩效目标表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保日常工作运转</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加快城镇化建设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实现城乡统筹发展</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维修道路数量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占城区道路的百分比</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&gt;60%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维修质量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占城区道路的百分比</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&gt;60%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占城区道路的百分比</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&gt;60%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单位人员对日常保障工作的满意程度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1</w:t>
      </w:r>
      <w:r>
        <w:rPr>
          <w:rFonts w:hint="eastAsia" w:ascii="方正仿宋_GBK" w:eastAsia="方正仿宋_GBK"/>
          <w:b/>
          <w:sz w:val="28"/>
          <w:highlight w:val="none"/>
          <w:lang w:val="en-US" w:eastAsia="zh-CN"/>
        </w:rPr>
        <w:t>2</w:t>
      </w:r>
      <w:r>
        <w:rPr>
          <w:rFonts w:hint="eastAsia" w:ascii="方正仿宋_GBK" w:eastAsia="方正仿宋_GBK"/>
          <w:b/>
          <w:sz w:val="28"/>
          <w:highlight w:val="none"/>
        </w:rPr>
        <w:t>、提前下达2021年自然灾害救助专项资金绩效目标表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自然灾害救助资金</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提高防灾减灾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确保工作顺利进行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社会效果程度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社会效果程度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灾害风险防控水平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灾害风险防控水平</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1</w:t>
      </w:r>
      <w:r>
        <w:rPr>
          <w:rFonts w:hint="eastAsia" w:ascii="方正仿宋_GBK" w:eastAsia="方正仿宋_GBK"/>
          <w:b/>
          <w:sz w:val="28"/>
          <w:highlight w:val="none"/>
          <w:lang w:val="en-US" w:eastAsia="zh-CN"/>
        </w:rPr>
        <w:t>3</w:t>
      </w:r>
      <w:r>
        <w:rPr>
          <w:rFonts w:hint="eastAsia" w:ascii="方正仿宋_GBK" w:eastAsia="方正仿宋_GBK"/>
          <w:b/>
          <w:sz w:val="28"/>
          <w:highlight w:val="none"/>
        </w:rPr>
        <w:t>、垃圾外运资金2绩效目标表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提升环境卫生</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1</w:t>
      </w:r>
      <w:r>
        <w:rPr>
          <w:rFonts w:hint="eastAsia" w:ascii="方正仿宋_GBK" w:eastAsia="方正仿宋_GBK"/>
          <w:b/>
          <w:sz w:val="28"/>
          <w:highlight w:val="none"/>
          <w:lang w:val="en-US" w:eastAsia="zh-CN"/>
        </w:rPr>
        <w:t>4</w:t>
      </w:r>
      <w:r>
        <w:rPr>
          <w:rFonts w:hint="eastAsia" w:ascii="方正仿宋_GBK" w:eastAsia="方正仿宋_GBK"/>
          <w:b/>
          <w:sz w:val="28"/>
          <w:highlight w:val="none"/>
        </w:rPr>
        <w:t>、庆祝建常100周年资金绩效目标表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城区市容市貌综合整治</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加强城区管理，改善居住环境，实现城乡统筹发展。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是否按时完成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宣传活动影响力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宣传活动形成的创卫氛围所产生的影响</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2"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改善城区生活环境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改善园区生态环境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2"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干部工作积极稳定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9"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15</w:t>
      </w:r>
      <w:r>
        <w:rPr>
          <w:rFonts w:hint="eastAsia" w:ascii="方正仿宋_GBK" w:eastAsia="方正仿宋_GBK"/>
          <w:b/>
          <w:sz w:val="28"/>
          <w:highlight w:val="none"/>
        </w:rPr>
        <w:t>、城市建设道路改造绩效目标表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加强村镇建设，改善农村人居环境，实现城乡统筹发展</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改善居住环境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保工作正常运转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改造道路数量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改造道路数量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30%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施工质量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施工质量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按标准备发放</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预算执行率（</w:t>
            </w:r>
            <w:r>
              <w:rPr>
                <w:rFonts w:ascii="方正书宋_GBK" w:eastAsia="方正书宋_GBK"/>
                <w:highlight w:val="none"/>
              </w:rPr>
              <w:t>%</w:t>
            </w:r>
            <w:r>
              <w:rPr>
                <w:rFonts w:hint="eastAsia" w:ascii="方正书宋_GBK" w:eastAsia="方正书宋_GBK"/>
                <w:highlight w:val="none"/>
              </w:rPr>
              <w:t>）</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预算执行率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16</w:t>
      </w:r>
      <w:r>
        <w:rPr>
          <w:rFonts w:hint="eastAsia" w:ascii="方正仿宋_GBK" w:eastAsia="方正仿宋_GBK"/>
          <w:b/>
          <w:sz w:val="28"/>
          <w:highlight w:val="none"/>
        </w:rPr>
        <w:t>、综合执法2020年延长供热补贴绩效目标表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保稳定</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保生活正常运行</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供热质量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供热质量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供暖及时性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供暖及时性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环保节能</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节能环保</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17</w:t>
      </w:r>
      <w:r>
        <w:rPr>
          <w:rFonts w:hint="eastAsia" w:ascii="方正仿宋_GBK" w:eastAsia="方正仿宋_GBK"/>
          <w:b/>
          <w:sz w:val="28"/>
          <w:highlight w:val="none"/>
        </w:rPr>
        <w:t>、公用事业科路灯杆清洗 调直资金绩效目标表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保运行</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美化环境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加快城乡建设</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清洗次数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清洗次数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50%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创新工作完成率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创新工作完成率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协同合作影响</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单位人员对日常工作运转的满意程度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18</w:t>
      </w:r>
      <w:r>
        <w:rPr>
          <w:rFonts w:hint="eastAsia" w:ascii="方正仿宋_GBK" w:eastAsia="方正仿宋_GBK"/>
          <w:b/>
          <w:sz w:val="28"/>
          <w:highlight w:val="none"/>
        </w:rPr>
        <w:t>、2020年餐厅经费 城管形象整改  环境专项规划  退休职业年利息绩效目标表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保日常工作运转</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保稳定</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提升工作效率</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经费保障人数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经费保障人数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业务功能满足率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反应综合事务完成情况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社会稳定水平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通过实施发放工资促进社会稳定水平逐步提高</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lang w:val="en-US" w:eastAsia="zh-CN"/>
        </w:rPr>
        <w:t>19</w:t>
      </w:r>
      <w:r>
        <w:rPr>
          <w:rFonts w:hint="eastAsia" w:ascii="方正仿宋_GBK" w:eastAsia="方正仿宋_GBK"/>
          <w:b/>
          <w:sz w:val="28"/>
          <w:highlight w:val="none"/>
        </w:rPr>
        <w:t>、应急办劳务派遣资金绩效目标表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保障劳务派遣人员工资按时发放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保障工作正常运行</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提升工作效率</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7</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按时发放工资缴纳保险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按时发放工资缴纳保险</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按标准备发放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人员稳定开展工作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对职工福利满意度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2</w:t>
      </w:r>
      <w:r>
        <w:rPr>
          <w:rFonts w:hint="eastAsia" w:ascii="方正仿宋_GBK" w:eastAsia="方正仿宋_GBK"/>
          <w:b/>
          <w:sz w:val="28"/>
          <w:highlight w:val="none"/>
          <w:lang w:val="en-US" w:eastAsia="zh-CN"/>
        </w:rPr>
        <w:t>0</w:t>
      </w:r>
      <w:r>
        <w:rPr>
          <w:rFonts w:hint="eastAsia" w:ascii="方正仿宋_GBK" w:eastAsia="方正仿宋_GBK"/>
          <w:b/>
          <w:sz w:val="28"/>
          <w:highlight w:val="none"/>
        </w:rPr>
        <w:t>、办公室水电 餐厅经费  执法车租赁 加油维修及房屋修缮资金绩效目标表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综事事务管理</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日常工作运转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执法车数量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执法车数量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16</w:t>
            </w:r>
            <w:r>
              <w:rPr>
                <w:rFonts w:hint="eastAsia" w:ascii="方正书宋_GBK" w:eastAsia="方正书宋_GBK"/>
                <w:highlight w:val="none"/>
              </w:rPr>
              <w:t>辆</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　</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降低区域污染物排放，有利于改善环境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主管单位满意</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2</w:t>
      </w:r>
      <w:r>
        <w:rPr>
          <w:rFonts w:hint="eastAsia" w:ascii="方正仿宋_GBK" w:eastAsia="方正仿宋_GBK"/>
          <w:b/>
          <w:sz w:val="28"/>
          <w:highlight w:val="none"/>
          <w:lang w:val="en-US" w:eastAsia="zh-CN"/>
        </w:rPr>
        <w:t>1</w:t>
      </w:r>
      <w:r>
        <w:rPr>
          <w:rFonts w:hint="eastAsia" w:ascii="方正仿宋_GBK" w:eastAsia="方正仿宋_GBK"/>
          <w:b/>
          <w:sz w:val="28"/>
          <w:highlight w:val="none"/>
        </w:rPr>
        <w:t>、城区品质生活绿化建设绩效目标表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加快城镇化建设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打造省级园林城市</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质量要求</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质量要求</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按合同执行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按合同执行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bl>
    <w:p>
      <w:pPr>
        <w:spacing w:line="300" w:lineRule="exact"/>
        <w:jc w:val="left"/>
        <w:rPr>
          <w:highlight w:val="none"/>
        </w:rPr>
      </w:pPr>
    </w:p>
    <w:p>
      <w:pPr>
        <w:jc w:val="left"/>
        <w:rPr>
          <w:rFonts w:ascii="Times New Roman" w:hAnsi="宋体"/>
          <w:b/>
          <w:sz w:val="28"/>
          <w:highlight w:val="none"/>
        </w:rPr>
      </w:pPr>
      <w:r>
        <w:rPr>
          <w:rFonts w:hint="eastAsia" w:ascii="方正仿宋_GBK" w:eastAsia="方正仿宋_GBK"/>
          <w:b/>
          <w:sz w:val="28"/>
          <w:highlight w:val="none"/>
        </w:rPr>
        <w:t>2</w:t>
      </w:r>
      <w:r>
        <w:rPr>
          <w:rFonts w:hint="eastAsia" w:ascii="方正仿宋_GBK" w:eastAsia="方正仿宋_GBK"/>
          <w:b/>
          <w:sz w:val="28"/>
          <w:highlight w:val="none"/>
          <w:lang w:val="en-US" w:eastAsia="zh-CN"/>
        </w:rPr>
        <w:t>2</w:t>
      </w:r>
      <w:r>
        <w:rPr>
          <w:rFonts w:hint="eastAsia" w:ascii="方正仿宋_GBK" w:eastAsia="方正仿宋_GBK"/>
          <w:b/>
          <w:sz w:val="28"/>
          <w:highlight w:val="none"/>
        </w:rPr>
        <w:t>、农房险资金绩效目标表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保障农村居住环境</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保工作正常运转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综合事务管理</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危房数量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危房数量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反应综合事务完成情况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9.9</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保障人民财产安全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保障人民财产安全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保障工作顺利完成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改善居住环境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改善居住环境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w:t>
      </w:r>
      <w:r>
        <w:rPr>
          <w:rFonts w:hint="eastAsia" w:ascii="方正仿宋_GBK" w:eastAsia="方正仿宋_GBK"/>
          <w:b/>
          <w:sz w:val="28"/>
          <w:highlight w:val="none"/>
          <w:lang w:val="en-US" w:eastAsia="zh-CN"/>
        </w:rPr>
        <w:t>3</w:t>
      </w:r>
      <w:r>
        <w:rPr>
          <w:rFonts w:hint="eastAsia" w:ascii="方正仿宋_GBK" w:eastAsia="方正仿宋_GBK"/>
          <w:b/>
          <w:sz w:val="28"/>
          <w:highlight w:val="none"/>
        </w:rPr>
        <w:t>、安全生产宣传  应急演练及自然灾害防治资金绩效目标表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加强应急救援体系建设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加强应急救援队伍、装备和信息系统建设，完善安全生产应急平台，提高全县应急救援协调指挥能力和应急处置能力</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日常工作所需</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安全生产宣传次数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安全生产宣传次数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反映机关事务管理各项综合事务完成情况看</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提高业务服务能力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为我局提供各类有效数据</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改善自然灾害风险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改善自然灾害风险</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干部工作积极，稳定，保障办公正常运转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主管单位、群众满意度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方正仿宋_GBK" w:eastAsia="方正仿宋_GBK"/>
          <w:b/>
          <w:sz w:val="28"/>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w:t>
      </w:r>
      <w:r>
        <w:rPr>
          <w:rFonts w:hint="eastAsia" w:ascii="方正仿宋_GBK" w:eastAsia="方正仿宋_GBK"/>
          <w:b/>
          <w:sz w:val="28"/>
          <w:highlight w:val="none"/>
          <w:lang w:val="en-US" w:eastAsia="zh-CN"/>
        </w:rPr>
        <w:t>4</w:t>
      </w:r>
      <w:r>
        <w:rPr>
          <w:rFonts w:hint="eastAsia" w:ascii="方正仿宋_GBK" w:eastAsia="方正仿宋_GBK"/>
          <w:b/>
          <w:sz w:val="28"/>
          <w:highlight w:val="none"/>
        </w:rPr>
        <w:t>、游园建设资金2绩效目标表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改造城区生活环境</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加快城乡建设</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任务完成的及时性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任务完成的及时性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综合利用率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基础设施建成后的利用、使用情况</w:t>
            </w:r>
            <w:r>
              <w:rPr>
                <w:rFonts w:ascii="方正书宋_GBK" w:eastAsia="方正书宋_GBK"/>
                <w:highlight w:val="none"/>
              </w:rPr>
              <w:t xml:space="preserve"> </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对大气、水环境质量的改善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86%</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群众满意数量占总数的比例。</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25</w:t>
      </w:r>
      <w:r>
        <w:rPr>
          <w:rFonts w:hint="eastAsia" w:ascii="方正仿宋_GBK" w:eastAsia="方正仿宋_GBK"/>
          <w:b/>
          <w:sz w:val="28"/>
          <w:highlight w:val="none"/>
        </w:rPr>
        <w:t>、芙蓉公园网络费 电费 冬季取暖及用电资金绩效目标表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保工作正常运行</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加快城镇化建设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通过采三方询价的方式来节约成本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创新能力持续提升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单位人员对正常工作运转的满意程度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26</w:t>
      </w:r>
      <w:r>
        <w:rPr>
          <w:rFonts w:hint="eastAsia" w:ascii="方正仿宋_GBK" w:eastAsia="方正仿宋_GBK"/>
          <w:b/>
          <w:sz w:val="28"/>
          <w:highlight w:val="none"/>
        </w:rPr>
        <w:t>、智慧用电资金绩效目标表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加强应急救援体系建设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提高安全意识</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配套设施完成率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实际完成配套设施占计划完成配套设施量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经费保障的及时性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办公日常的及时性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　</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项目前期工程完成情况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项目前期工程完成情况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保障工作持续开展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保障工作的持续开展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27</w:t>
      </w:r>
      <w:r>
        <w:rPr>
          <w:rFonts w:hint="eastAsia" w:ascii="方正仿宋_GBK" w:eastAsia="方正仿宋_GBK"/>
          <w:b/>
          <w:sz w:val="28"/>
          <w:highlight w:val="none"/>
        </w:rPr>
        <w:t>、环卫工资及意外保险资金绩效目标表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保障环卫工人工资按时发放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保障工人福利待遇</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300</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按标准发放工资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按标准发放工资</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按月发放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按月发放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702</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环保工作正常运转情况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是否保障环保工作正常运转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对职工福利满意度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28</w:t>
      </w:r>
      <w:r>
        <w:rPr>
          <w:rFonts w:hint="eastAsia" w:ascii="方正仿宋_GBK" w:eastAsia="方正仿宋_GBK"/>
          <w:b/>
          <w:sz w:val="28"/>
          <w:highlight w:val="none"/>
        </w:rPr>
        <w:t>、环卫综合资金绩效目标表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环境卫生治理</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加快城市建设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保障社会发展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保障社会发展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29</w:t>
      </w:r>
      <w:r>
        <w:rPr>
          <w:rFonts w:hint="eastAsia" w:ascii="方正仿宋_GBK" w:eastAsia="方正仿宋_GBK"/>
          <w:b/>
          <w:sz w:val="28"/>
          <w:highlight w:val="none"/>
        </w:rPr>
        <w:t>、城市广场芙蓉公园滨河公园安保资金绩效目标表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保工作正常运行</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保业务正常</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保安人员数量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聘请保安人员的数量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7</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人员素质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人员素质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及时发放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及时发放</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职工工资发放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对本单位职工及时发放工资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人员稳定开展工作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综合业务能力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综合业务能力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lang w:val="en-US" w:eastAsia="zh-CN"/>
        </w:rPr>
        <w:t>30</w:t>
      </w:r>
      <w:r>
        <w:rPr>
          <w:rFonts w:hint="eastAsia" w:ascii="方正仿宋_GBK" w:eastAsia="方正仿宋_GBK"/>
          <w:b/>
          <w:sz w:val="28"/>
          <w:highlight w:val="none"/>
        </w:rPr>
        <w:t>、城市智慧建设资金绩效目标表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智慧城市建设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w:t>
      </w:r>
      <w:r>
        <w:rPr>
          <w:rFonts w:hint="eastAsia" w:ascii="方正仿宋_GBK" w:eastAsia="方正仿宋_GBK"/>
          <w:b/>
          <w:sz w:val="28"/>
          <w:highlight w:val="none"/>
          <w:lang w:val="en-US" w:eastAsia="zh-CN"/>
        </w:rPr>
        <w:t>1</w:t>
      </w:r>
      <w:r>
        <w:rPr>
          <w:rFonts w:hint="eastAsia" w:ascii="方正仿宋_GBK" w:eastAsia="方正仿宋_GBK"/>
          <w:b/>
          <w:sz w:val="28"/>
          <w:highlight w:val="none"/>
        </w:rPr>
        <w:t>、城管综合资金（小广告清理，购置，形象综合治理）绩效目标表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城区形象综合治理</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加快城市建设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按照预算指标完成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按照预算指标完成</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w:t>
      </w:r>
      <w:r>
        <w:rPr>
          <w:rFonts w:hint="eastAsia" w:ascii="方正仿宋_GBK" w:eastAsia="方正仿宋_GBK"/>
          <w:b/>
          <w:sz w:val="28"/>
          <w:highlight w:val="none"/>
          <w:lang w:val="en-US" w:eastAsia="zh-CN"/>
        </w:rPr>
        <w:t>2</w:t>
      </w:r>
      <w:r>
        <w:rPr>
          <w:rFonts w:hint="eastAsia" w:ascii="方正仿宋_GBK" w:eastAsia="方正仿宋_GBK"/>
          <w:b/>
          <w:sz w:val="28"/>
          <w:highlight w:val="none"/>
        </w:rPr>
        <w:t>、污水处理厂综合改造项目绩效目标表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污水处理综合项目资金</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污水治理数量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污水治理数量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维持单位正常运转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w:t>
      </w:r>
      <w:r>
        <w:rPr>
          <w:rFonts w:hint="eastAsia" w:ascii="方正仿宋_GBK" w:eastAsia="方正仿宋_GBK"/>
          <w:b/>
          <w:sz w:val="28"/>
          <w:highlight w:val="none"/>
          <w:lang w:val="en-US" w:eastAsia="zh-CN"/>
        </w:rPr>
        <w:t>3</w:t>
      </w:r>
      <w:r>
        <w:rPr>
          <w:rFonts w:hint="eastAsia" w:ascii="方正仿宋_GBK" w:eastAsia="方正仿宋_GBK"/>
          <w:b/>
          <w:sz w:val="28"/>
          <w:highlight w:val="none"/>
        </w:rPr>
        <w:t>、环卫车辆加油维修及保险资金绩效目标表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保障城区环境卫生</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保障车辆正常运转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保机关工作有序</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垃圾清扫率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垃圾清扫率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车辆运行费用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车辆运行费用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业务保障能力提升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88%</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rPr>
          <w:rFonts w:ascii="黑体" w:hAnsi="黑体" w:eastAsia="宋体" w:cs="仿宋"/>
          <w:sz w:val="32"/>
          <w:szCs w:val="32"/>
          <w:highlight w:val="none"/>
        </w:rPr>
      </w:pPr>
    </w:p>
    <w:p>
      <w:pPr>
        <w:rPr>
          <w:rFonts w:ascii="黑体" w:hAnsi="黑体" w:eastAsia="宋体" w:cs="仿宋"/>
          <w:sz w:val="32"/>
          <w:szCs w:val="32"/>
          <w:highlight w:val="none"/>
        </w:rPr>
      </w:pPr>
    </w:p>
    <w:p>
      <w:pPr>
        <w:rPr>
          <w:rFonts w:ascii="黑体" w:hAnsi="黑体" w:eastAsia="宋体" w:cs="仿宋"/>
          <w:sz w:val="32"/>
          <w:szCs w:val="32"/>
          <w:highlight w:val="none"/>
        </w:rPr>
      </w:pPr>
    </w:p>
    <w:p>
      <w:pPr>
        <w:rPr>
          <w:rFonts w:ascii="黑体" w:hAnsi="黑体" w:eastAsia="宋体" w:cs="仿宋"/>
          <w:sz w:val="32"/>
          <w:szCs w:val="32"/>
          <w:highlight w:val="none"/>
        </w:rPr>
      </w:pPr>
    </w:p>
    <w:p>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pPr>
        <w:ind w:firstLine="320" w:firstLineChars="100"/>
        <w:jc w:val="left"/>
        <w:outlineLvl w:val="0"/>
        <w:rPr>
          <w:rFonts w:ascii="仿宋" w:hAnsi="仿宋" w:eastAsia="仿宋"/>
          <w:sz w:val="32"/>
          <w:szCs w:val="32"/>
          <w:highlight w:val="none"/>
        </w:rPr>
      </w:pPr>
      <w:r>
        <w:rPr>
          <w:rFonts w:hint="eastAsia" w:ascii="仿宋" w:hAnsi="仿宋" w:eastAsia="仿宋"/>
          <w:sz w:val="32"/>
          <w:szCs w:val="32"/>
          <w:highlight w:val="none"/>
        </w:rPr>
        <w:t>2021年，我单位安排采购预算</w:t>
      </w:r>
      <w:r>
        <w:rPr>
          <w:rFonts w:hint="eastAsia" w:ascii="仿宋" w:hAnsi="仿宋" w:eastAsia="仿宋"/>
          <w:sz w:val="32"/>
          <w:szCs w:val="32"/>
          <w:highlight w:val="none"/>
          <w:lang w:val="en-US" w:eastAsia="zh-CN"/>
        </w:rPr>
        <w:t>17483.14</w:t>
      </w:r>
      <w:r>
        <w:rPr>
          <w:rFonts w:hint="eastAsia" w:ascii="仿宋" w:hAnsi="仿宋" w:eastAsia="仿宋"/>
          <w:sz w:val="32"/>
          <w:szCs w:val="32"/>
          <w:highlight w:val="none"/>
        </w:rPr>
        <w:t>万元。具体内容见下表：</w:t>
      </w:r>
    </w:p>
    <w:tbl>
      <w:tblPr>
        <w:tblStyle w:val="9"/>
        <w:tblpPr w:leftFromText="180" w:rightFromText="180" w:vertAnchor="text" w:horzAnchor="page" w:tblpX="1534" w:tblpY="138"/>
        <w:tblOverlap w:val="never"/>
        <w:tblW w:w="1358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1024"/>
        <w:gridCol w:w="1397"/>
        <w:gridCol w:w="1134"/>
        <w:gridCol w:w="708"/>
        <w:gridCol w:w="709"/>
        <w:gridCol w:w="898"/>
        <w:gridCol w:w="895"/>
        <w:gridCol w:w="900"/>
        <w:gridCol w:w="993"/>
        <w:gridCol w:w="708"/>
        <w:gridCol w:w="709"/>
        <w:gridCol w:w="709"/>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2833" w:type="dxa"/>
            <w:gridSpan w:val="2"/>
            <w:vAlign w:val="center"/>
          </w:tcPr>
          <w:p>
            <w:pPr>
              <w:spacing w:line="300" w:lineRule="exact"/>
              <w:jc w:val="center"/>
              <w:rPr>
                <w:rFonts w:ascii="????_GBK" w:eastAsia="Times New Roman"/>
                <w:b/>
                <w:highlight w:val="none"/>
              </w:rPr>
            </w:pPr>
            <w:r>
              <w:rPr>
                <w:rFonts w:hint="eastAsia" w:ascii="宋体" w:hAnsi="宋体" w:cs="宋体"/>
                <w:b/>
                <w:highlight w:val="none"/>
              </w:rPr>
              <w:t>政府采购项目来源</w:t>
            </w:r>
          </w:p>
        </w:tc>
        <w:tc>
          <w:tcPr>
            <w:tcW w:w="1397"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采购物品名称</w:t>
            </w:r>
          </w:p>
        </w:tc>
        <w:tc>
          <w:tcPr>
            <w:tcW w:w="1134"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政府采购目录序号</w:t>
            </w:r>
          </w:p>
        </w:tc>
        <w:tc>
          <w:tcPr>
            <w:tcW w:w="708"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数量单位</w:t>
            </w:r>
          </w:p>
        </w:tc>
        <w:tc>
          <w:tcPr>
            <w:tcW w:w="709"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数量</w:t>
            </w:r>
          </w:p>
        </w:tc>
        <w:tc>
          <w:tcPr>
            <w:tcW w:w="898"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单价</w:t>
            </w:r>
          </w:p>
        </w:tc>
        <w:tc>
          <w:tcPr>
            <w:tcW w:w="5906" w:type="dxa"/>
            <w:gridSpan w:val="7"/>
            <w:vAlign w:val="center"/>
          </w:tcPr>
          <w:p>
            <w:pPr>
              <w:spacing w:line="300" w:lineRule="exact"/>
              <w:jc w:val="center"/>
              <w:rPr>
                <w:rFonts w:ascii="????_GBK" w:eastAsia="Times New Roman"/>
                <w:b/>
                <w:highlight w:val="none"/>
              </w:rPr>
            </w:pPr>
            <w:r>
              <w:rPr>
                <w:rFonts w:hint="eastAsia" w:ascii="宋体" w:hAnsi="宋体" w:cs="宋体"/>
                <w:b/>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1809"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项目名称</w:t>
            </w:r>
          </w:p>
        </w:tc>
        <w:tc>
          <w:tcPr>
            <w:tcW w:w="1024"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预算资金</w:t>
            </w:r>
          </w:p>
        </w:tc>
        <w:tc>
          <w:tcPr>
            <w:tcW w:w="1397" w:type="dxa"/>
            <w:vMerge w:val="continue"/>
            <w:vAlign w:val="center"/>
          </w:tcPr>
          <w:p>
            <w:pPr>
              <w:spacing w:line="300" w:lineRule="exact"/>
              <w:jc w:val="left"/>
              <w:outlineLvl w:val="0"/>
              <w:rPr>
                <w:highlight w:val="none"/>
              </w:rPr>
            </w:pPr>
          </w:p>
        </w:tc>
        <w:tc>
          <w:tcPr>
            <w:tcW w:w="1134" w:type="dxa"/>
            <w:vMerge w:val="continue"/>
            <w:vAlign w:val="center"/>
          </w:tcPr>
          <w:p>
            <w:pPr>
              <w:spacing w:line="300" w:lineRule="exact"/>
              <w:jc w:val="left"/>
              <w:outlineLvl w:val="0"/>
              <w:rPr>
                <w:highlight w:val="none"/>
              </w:rPr>
            </w:pPr>
          </w:p>
        </w:tc>
        <w:tc>
          <w:tcPr>
            <w:tcW w:w="708" w:type="dxa"/>
            <w:vMerge w:val="continue"/>
            <w:vAlign w:val="center"/>
          </w:tcPr>
          <w:p>
            <w:pPr>
              <w:spacing w:line="300" w:lineRule="exact"/>
              <w:jc w:val="left"/>
              <w:outlineLvl w:val="0"/>
              <w:rPr>
                <w:highlight w:val="none"/>
              </w:rPr>
            </w:pPr>
          </w:p>
        </w:tc>
        <w:tc>
          <w:tcPr>
            <w:tcW w:w="709" w:type="dxa"/>
            <w:vMerge w:val="continue"/>
            <w:vAlign w:val="center"/>
          </w:tcPr>
          <w:p>
            <w:pPr>
              <w:spacing w:line="300" w:lineRule="exact"/>
              <w:jc w:val="left"/>
              <w:outlineLvl w:val="0"/>
              <w:rPr>
                <w:highlight w:val="none"/>
              </w:rPr>
            </w:pPr>
          </w:p>
        </w:tc>
        <w:tc>
          <w:tcPr>
            <w:tcW w:w="898" w:type="dxa"/>
            <w:vMerge w:val="continue"/>
            <w:vAlign w:val="center"/>
          </w:tcPr>
          <w:p>
            <w:pPr>
              <w:spacing w:line="300" w:lineRule="exact"/>
              <w:jc w:val="left"/>
              <w:outlineLvl w:val="0"/>
              <w:rPr>
                <w:highlight w:val="none"/>
              </w:rPr>
            </w:pPr>
          </w:p>
        </w:tc>
        <w:tc>
          <w:tcPr>
            <w:tcW w:w="895"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总计</w:t>
            </w:r>
          </w:p>
        </w:tc>
        <w:tc>
          <w:tcPr>
            <w:tcW w:w="4019" w:type="dxa"/>
            <w:gridSpan w:val="5"/>
            <w:vAlign w:val="center"/>
          </w:tcPr>
          <w:p>
            <w:pPr>
              <w:spacing w:line="300" w:lineRule="exact"/>
              <w:jc w:val="center"/>
              <w:rPr>
                <w:rFonts w:ascii="????_GBK" w:eastAsia="Times New Roman"/>
                <w:b/>
                <w:highlight w:val="none"/>
              </w:rPr>
            </w:pPr>
            <w:r>
              <w:rPr>
                <w:rFonts w:hint="eastAsia" w:ascii="宋体" w:hAnsi="宋体" w:cs="宋体"/>
                <w:b/>
                <w:highlight w:val="none"/>
              </w:rPr>
              <w:t>当年单位预算安排资金</w:t>
            </w:r>
          </w:p>
        </w:tc>
        <w:tc>
          <w:tcPr>
            <w:tcW w:w="992"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4" w:hRule="atLeast"/>
          <w:tblHeader/>
        </w:trPr>
        <w:tc>
          <w:tcPr>
            <w:tcW w:w="1809" w:type="dxa"/>
            <w:vMerge w:val="continue"/>
            <w:vAlign w:val="center"/>
          </w:tcPr>
          <w:p>
            <w:pPr>
              <w:spacing w:line="300" w:lineRule="exact"/>
              <w:jc w:val="left"/>
              <w:outlineLvl w:val="0"/>
              <w:rPr>
                <w:highlight w:val="none"/>
              </w:rPr>
            </w:pPr>
          </w:p>
        </w:tc>
        <w:tc>
          <w:tcPr>
            <w:tcW w:w="1024" w:type="dxa"/>
            <w:vMerge w:val="continue"/>
            <w:vAlign w:val="center"/>
          </w:tcPr>
          <w:p>
            <w:pPr>
              <w:spacing w:line="300" w:lineRule="exact"/>
              <w:jc w:val="left"/>
              <w:outlineLvl w:val="0"/>
              <w:rPr>
                <w:highlight w:val="none"/>
              </w:rPr>
            </w:pPr>
          </w:p>
        </w:tc>
        <w:tc>
          <w:tcPr>
            <w:tcW w:w="1397" w:type="dxa"/>
            <w:vMerge w:val="continue"/>
            <w:vAlign w:val="center"/>
          </w:tcPr>
          <w:p>
            <w:pPr>
              <w:spacing w:line="300" w:lineRule="exact"/>
              <w:jc w:val="left"/>
              <w:outlineLvl w:val="0"/>
              <w:rPr>
                <w:highlight w:val="none"/>
              </w:rPr>
            </w:pPr>
          </w:p>
        </w:tc>
        <w:tc>
          <w:tcPr>
            <w:tcW w:w="1134" w:type="dxa"/>
            <w:vMerge w:val="continue"/>
            <w:vAlign w:val="center"/>
          </w:tcPr>
          <w:p>
            <w:pPr>
              <w:spacing w:line="300" w:lineRule="exact"/>
              <w:jc w:val="left"/>
              <w:outlineLvl w:val="0"/>
              <w:rPr>
                <w:highlight w:val="none"/>
              </w:rPr>
            </w:pPr>
          </w:p>
        </w:tc>
        <w:tc>
          <w:tcPr>
            <w:tcW w:w="708" w:type="dxa"/>
            <w:vMerge w:val="continue"/>
            <w:vAlign w:val="center"/>
          </w:tcPr>
          <w:p>
            <w:pPr>
              <w:spacing w:line="300" w:lineRule="exact"/>
              <w:jc w:val="left"/>
              <w:outlineLvl w:val="0"/>
              <w:rPr>
                <w:highlight w:val="none"/>
              </w:rPr>
            </w:pPr>
          </w:p>
        </w:tc>
        <w:tc>
          <w:tcPr>
            <w:tcW w:w="709" w:type="dxa"/>
            <w:vMerge w:val="continue"/>
            <w:vAlign w:val="center"/>
          </w:tcPr>
          <w:p>
            <w:pPr>
              <w:spacing w:line="300" w:lineRule="exact"/>
              <w:jc w:val="left"/>
              <w:outlineLvl w:val="0"/>
              <w:rPr>
                <w:highlight w:val="none"/>
              </w:rPr>
            </w:pPr>
          </w:p>
        </w:tc>
        <w:tc>
          <w:tcPr>
            <w:tcW w:w="898" w:type="dxa"/>
            <w:vMerge w:val="continue"/>
            <w:vAlign w:val="center"/>
          </w:tcPr>
          <w:p>
            <w:pPr>
              <w:spacing w:line="300" w:lineRule="exact"/>
              <w:jc w:val="left"/>
              <w:outlineLvl w:val="0"/>
              <w:rPr>
                <w:highlight w:val="none"/>
              </w:rPr>
            </w:pPr>
          </w:p>
        </w:tc>
        <w:tc>
          <w:tcPr>
            <w:tcW w:w="895" w:type="dxa"/>
            <w:vMerge w:val="continue"/>
            <w:vAlign w:val="center"/>
          </w:tcPr>
          <w:p>
            <w:pPr>
              <w:spacing w:line="300" w:lineRule="exact"/>
              <w:jc w:val="left"/>
              <w:outlineLvl w:val="0"/>
              <w:rPr>
                <w:highlight w:val="none"/>
              </w:rPr>
            </w:pPr>
          </w:p>
        </w:tc>
        <w:tc>
          <w:tcPr>
            <w:tcW w:w="900" w:type="dxa"/>
            <w:vAlign w:val="center"/>
          </w:tcPr>
          <w:p>
            <w:pPr>
              <w:spacing w:line="300" w:lineRule="exact"/>
              <w:jc w:val="center"/>
              <w:rPr>
                <w:rFonts w:ascii="????_GBK" w:eastAsia="Times New Roman"/>
                <w:b/>
                <w:highlight w:val="none"/>
              </w:rPr>
            </w:pPr>
            <w:r>
              <w:rPr>
                <w:rFonts w:hint="eastAsia" w:ascii="宋体" w:hAnsi="宋体" w:cs="宋体"/>
                <w:b/>
                <w:highlight w:val="none"/>
              </w:rPr>
              <w:t>合计</w:t>
            </w:r>
          </w:p>
        </w:tc>
        <w:tc>
          <w:tcPr>
            <w:tcW w:w="993" w:type="dxa"/>
            <w:vAlign w:val="center"/>
          </w:tcPr>
          <w:p>
            <w:pPr>
              <w:spacing w:line="300" w:lineRule="exact"/>
              <w:jc w:val="center"/>
              <w:rPr>
                <w:rFonts w:ascii="????_GBK" w:eastAsia="Times New Roman"/>
                <w:b/>
                <w:highlight w:val="none"/>
              </w:rPr>
            </w:pPr>
            <w:r>
              <w:rPr>
                <w:rFonts w:hint="eastAsia" w:ascii="宋体" w:hAnsi="宋体" w:cs="宋体"/>
                <w:b/>
                <w:highlight w:val="none"/>
              </w:rPr>
              <w:t>一般公共预算拨款</w:t>
            </w:r>
          </w:p>
        </w:tc>
        <w:tc>
          <w:tcPr>
            <w:tcW w:w="708" w:type="dxa"/>
            <w:vAlign w:val="center"/>
          </w:tcPr>
          <w:p>
            <w:pPr>
              <w:spacing w:line="300" w:lineRule="exact"/>
              <w:jc w:val="center"/>
              <w:rPr>
                <w:rFonts w:ascii="????_GBK" w:eastAsia="Times New Roman"/>
                <w:b/>
                <w:highlight w:val="none"/>
              </w:rPr>
            </w:pPr>
            <w:r>
              <w:rPr>
                <w:rFonts w:hint="eastAsia" w:ascii="宋体" w:hAnsi="宋体" w:cs="宋体"/>
                <w:b/>
                <w:highlight w:val="none"/>
              </w:rPr>
              <w:t>基金预算拨款</w:t>
            </w:r>
          </w:p>
        </w:tc>
        <w:tc>
          <w:tcPr>
            <w:tcW w:w="709" w:type="dxa"/>
            <w:vAlign w:val="center"/>
          </w:tcPr>
          <w:p>
            <w:pPr>
              <w:spacing w:line="300" w:lineRule="exact"/>
              <w:jc w:val="center"/>
              <w:rPr>
                <w:rFonts w:ascii="????_GBK" w:eastAsia="Times New Roman"/>
                <w:b/>
                <w:highlight w:val="none"/>
              </w:rPr>
            </w:pPr>
            <w:r>
              <w:rPr>
                <w:rFonts w:hint="eastAsia" w:ascii="宋体" w:hAnsi="宋体" w:cs="宋体"/>
                <w:b/>
                <w:highlight w:val="none"/>
              </w:rPr>
              <w:t>财政专户核拨</w:t>
            </w:r>
          </w:p>
        </w:tc>
        <w:tc>
          <w:tcPr>
            <w:tcW w:w="709" w:type="dxa"/>
            <w:vAlign w:val="center"/>
          </w:tcPr>
          <w:p>
            <w:pPr>
              <w:spacing w:line="300" w:lineRule="exact"/>
              <w:jc w:val="center"/>
              <w:rPr>
                <w:rFonts w:ascii="????_GBK" w:eastAsia="Times New Roman"/>
                <w:b/>
                <w:highlight w:val="none"/>
              </w:rPr>
            </w:pPr>
            <w:r>
              <w:rPr>
                <w:rFonts w:hint="eastAsia" w:ascii="宋体" w:hAnsi="宋体" w:cs="宋体"/>
                <w:b/>
                <w:highlight w:val="none"/>
              </w:rPr>
              <w:t>其他来源收入</w:t>
            </w:r>
          </w:p>
        </w:tc>
        <w:tc>
          <w:tcPr>
            <w:tcW w:w="992" w:type="dxa"/>
            <w:vMerge w:val="continue"/>
            <w:vAlign w:val="center"/>
          </w:tcPr>
          <w:p>
            <w:pPr>
              <w:spacing w:line="300" w:lineRule="exact"/>
              <w:jc w:val="left"/>
              <w:outlineLvl w:val="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809" w:type="dxa"/>
            <w:vAlign w:val="center"/>
          </w:tcPr>
          <w:p>
            <w:pPr>
              <w:spacing w:line="300" w:lineRule="exact"/>
              <w:jc w:val="center"/>
              <w:rPr>
                <w:rFonts w:ascii="宋体" w:hAnsi="宋体" w:eastAsia="宋体"/>
                <w:b/>
                <w:highlight w:val="none"/>
              </w:rPr>
            </w:pPr>
            <w:r>
              <w:rPr>
                <w:rFonts w:hint="eastAsia" w:ascii="宋体" w:hAnsi="宋体" w:eastAsia="宋体"/>
                <w:b/>
                <w:highlight w:val="none"/>
              </w:rPr>
              <w:t>小计</w:t>
            </w:r>
          </w:p>
        </w:tc>
        <w:tc>
          <w:tcPr>
            <w:tcW w:w="1024" w:type="dxa"/>
            <w:vAlign w:val="center"/>
          </w:tcPr>
          <w:p>
            <w:pPr>
              <w:spacing w:line="300" w:lineRule="exact"/>
              <w:jc w:val="both"/>
              <w:rPr>
                <w:rFonts w:hint="default" w:ascii="宋体" w:hAnsi="宋体" w:eastAsia="宋体"/>
                <w:b/>
                <w:highlight w:val="none"/>
                <w:lang w:val="en-US" w:eastAsia="zh-CN"/>
              </w:rPr>
            </w:pPr>
            <w:r>
              <w:rPr>
                <w:rFonts w:hint="eastAsia" w:ascii="宋体" w:hAnsi="宋体"/>
                <w:b/>
                <w:highlight w:val="none"/>
                <w:lang w:val="en-US" w:eastAsia="zh-CN"/>
              </w:rPr>
              <w:t>17483.14</w:t>
            </w:r>
          </w:p>
        </w:tc>
        <w:tc>
          <w:tcPr>
            <w:tcW w:w="1397" w:type="dxa"/>
            <w:vAlign w:val="center"/>
          </w:tcPr>
          <w:p>
            <w:pPr>
              <w:spacing w:line="300" w:lineRule="exact"/>
              <w:jc w:val="left"/>
              <w:rPr>
                <w:rFonts w:ascii="宋体" w:hAnsi="宋体" w:eastAsia="宋体"/>
                <w:b/>
                <w:highlight w:val="none"/>
              </w:rPr>
            </w:pPr>
          </w:p>
        </w:tc>
        <w:tc>
          <w:tcPr>
            <w:tcW w:w="1134" w:type="dxa"/>
            <w:vAlign w:val="center"/>
          </w:tcPr>
          <w:p>
            <w:pPr>
              <w:spacing w:line="300" w:lineRule="exact"/>
              <w:jc w:val="left"/>
              <w:rPr>
                <w:rFonts w:ascii="宋体" w:hAnsi="宋体" w:eastAsia="宋体"/>
                <w:b/>
                <w:highlight w:val="none"/>
              </w:rPr>
            </w:pPr>
          </w:p>
        </w:tc>
        <w:tc>
          <w:tcPr>
            <w:tcW w:w="708" w:type="dxa"/>
            <w:vAlign w:val="center"/>
          </w:tcPr>
          <w:p>
            <w:pPr>
              <w:spacing w:line="300" w:lineRule="exact"/>
              <w:jc w:val="left"/>
              <w:rPr>
                <w:rFonts w:ascii="宋体" w:hAnsi="宋体" w:eastAsia="宋体"/>
                <w:b/>
                <w:highlight w:val="none"/>
              </w:rPr>
            </w:pPr>
          </w:p>
        </w:tc>
        <w:tc>
          <w:tcPr>
            <w:tcW w:w="709" w:type="dxa"/>
            <w:vAlign w:val="center"/>
          </w:tcPr>
          <w:p>
            <w:pPr>
              <w:spacing w:line="300" w:lineRule="exact"/>
              <w:jc w:val="right"/>
              <w:rPr>
                <w:rFonts w:ascii="宋体" w:hAnsi="宋体" w:eastAsia="宋体"/>
                <w:b/>
                <w:highlight w:val="none"/>
              </w:rPr>
            </w:pPr>
          </w:p>
        </w:tc>
        <w:tc>
          <w:tcPr>
            <w:tcW w:w="898" w:type="dxa"/>
            <w:vAlign w:val="center"/>
          </w:tcPr>
          <w:p>
            <w:pPr>
              <w:spacing w:line="300" w:lineRule="exact"/>
              <w:jc w:val="right"/>
              <w:rPr>
                <w:rFonts w:ascii="宋体" w:hAnsi="宋体" w:eastAsia="宋体"/>
                <w:b/>
                <w:highlight w:val="none"/>
              </w:rPr>
            </w:pPr>
          </w:p>
        </w:tc>
        <w:tc>
          <w:tcPr>
            <w:tcW w:w="895" w:type="dxa"/>
            <w:vAlign w:val="center"/>
          </w:tcPr>
          <w:p>
            <w:pPr>
              <w:spacing w:line="300" w:lineRule="exact"/>
              <w:jc w:val="right"/>
              <w:rPr>
                <w:rFonts w:hint="default" w:ascii="????_GBK" w:eastAsia="宋体"/>
                <w:sz w:val="18"/>
                <w:szCs w:val="18"/>
                <w:highlight w:val="none"/>
                <w:lang w:val="en-US" w:eastAsia="zh-CN"/>
              </w:rPr>
            </w:pPr>
            <w:r>
              <w:rPr>
                <w:rFonts w:hint="eastAsia" w:ascii="????_GBK"/>
                <w:sz w:val="18"/>
                <w:szCs w:val="18"/>
                <w:highlight w:val="none"/>
                <w:lang w:val="en-US" w:eastAsia="zh-CN"/>
              </w:rPr>
              <w:t>1</w:t>
            </w:r>
            <w:r>
              <w:rPr>
                <w:rFonts w:hint="eastAsia" w:ascii="????_GBK"/>
                <w:sz w:val="18"/>
                <w:szCs w:val="18"/>
                <w:highlight w:val="none"/>
                <w:lang w:eastAsia="zh-CN"/>
              </w:rPr>
              <w:t>7</w:t>
            </w:r>
            <w:r>
              <w:rPr>
                <w:rFonts w:hint="eastAsia" w:ascii="????_GBK"/>
                <w:sz w:val="18"/>
                <w:szCs w:val="18"/>
                <w:highlight w:val="none"/>
                <w:lang w:val="en-US" w:eastAsia="zh-CN"/>
              </w:rPr>
              <w:t>483.14</w:t>
            </w:r>
          </w:p>
        </w:tc>
        <w:tc>
          <w:tcPr>
            <w:tcW w:w="900" w:type="dxa"/>
            <w:vAlign w:val="center"/>
          </w:tcPr>
          <w:p>
            <w:pPr>
              <w:jc w:val="center"/>
              <w:rPr>
                <w:rFonts w:ascii="宋体" w:hAnsi="宋体" w:cs="宋体"/>
                <w:sz w:val="18"/>
                <w:szCs w:val="18"/>
                <w:highlight w:val="none"/>
              </w:rPr>
            </w:pPr>
            <w:r>
              <w:rPr>
                <w:rFonts w:hint="eastAsia" w:ascii="宋体" w:hAnsi="宋体" w:cs="宋体"/>
                <w:sz w:val="18"/>
                <w:szCs w:val="18"/>
                <w:highlight w:val="none"/>
                <w:lang w:val="en-US" w:eastAsia="zh-CN"/>
              </w:rPr>
              <w:t>17483.14</w:t>
            </w:r>
          </w:p>
        </w:tc>
        <w:tc>
          <w:tcPr>
            <w:tcW w:w="993" w:type="dxa"/>
            <w:vAlign w:val="center"/>
          </w:tcPr>
          <w:p>
            <w:pPr>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17483.14</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eastAsia="Times New Roman"/>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809" w:type="dxa"/>
            <w:vAlign w:val="center"/>
          </w:tcPr>
          <w:p>
            <w:pPr>
              <w:spacing w:line="300" w:lineRule="exact"/>
              <w:jc w:val="center"/>
              <w:rPr>
                <w:rFonts w:ascii="宋体" w:hAnsi="宋体" w:eastAsia="宋体"/>
                <w:b/>
                <w:highlight w:val="none"/>
              </w:rPr>
            </w:pPr>
            <w:r>
              <w:rPr>
                <w:rFonts w:hint="eastAsia" w:ascii="宋体" w:hAnsi="宋体" w:eastAsia="宋体" w:cs="宋体"/>
                <w:kern w:val="0"/>
                <w:sz w:val="22"/>
                <w:szCs w:val="22"/>
                <w:highlight w:val="none"/>
              </w:rPr>
              <w:t>环卫工人意外工伤保险</w:t>
            </w:r>
          </w:p>
        </w:tc>
        <w:tc>
          <w:tcPr>
            <w:tcW w:w="1024" w:type="dxa"/>
            <w:vAlign w:val="center"/>
          </w:tcPr>
          <w:p>
            <w:pPr>
              <w:jc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30</w:t>
            </w:r>
          </w:p>
        </w:tc>
        <w:tc>
          <w:tcPr>
            <w:tcW w:w="1397" w:type="dxa"/>
            <w:vAlign w:val="center"/>
          </w:tcPr>
          <w:p>
            <w:pPr>
              <w:rPr>
                <w:rFonts w:ascii="宋体" w:hAnsi="宋体" w:eastAsia="宋体" w:cs="宋体"/>
                <w:sz w:val="22"/>
                <w:szCs w:val="22"/>
                <w:highlight w:val="none"/>
              </w:rPr>
            </w:pPr>
            <w:r>
              <w:rPr>
                <w:rFonts w:hint="eastAsia" w:ascii="宋体" w:hAnsi="宋体" w:eastAsia="宋体" w:cs="宋体"/>
                <w:kern w:val="0"/>
                <w:sz w:val="22"/>
                <w:szCs w:val="22"/>
                <w:highlight w:val="none"/>
              </w:rPr>
              <w:t>保险服务</w:t>
            </w:r>
          </w:p>
        </w:tc>
        <w:tc>
          <w:tcPr>
            <w:tcW w:w="1134" w:type="dxa"/>
            <w:vAlign w:val="center"/>
          </w:tcPr>
          <w:p>
            <w:pPr>
              <w:rPr>
                <w:rFonts w:ascii="宋体" w:hAnsi="宋体" w:eastAsia="宋体" w:cs="宋体"/>
                <w:sz w:val="22"/>
                <w:szCs w:val="22"/>
                <w:highlight w:val="none"/>
              </w:rPr>
            </w:pPr>
            <w:r>
              <w:rPr>
                <w:rFonts w:hint="eastAsia" w:ascii="宋体" w:hAnsi="宋体" w:eastAsia="宋体" w:cs="宋体"/>
                <w:kern w:val="0"/>
                <w:sz w:val="20"/>
                <w:szCs w:val="20"/>
                <w:highlight w:val="none"/>
              </w:rPr>
              <w:t>C1504</w:t>
            </w:r>
          </w:p>
        </w:tc>
        <w:tc>
          <w:tcPr>
            <w:tcW w:w="708" w:type="dxa"/>
            <w:vAlign w:val="center"/>
          </w:tcPr>
          <w:p>
            <w:pPr>
              <w:spacing w:line="300" w:lineRule="exact"/>
              <w:jc w:val="center"/>
              <w:rPr>
                <w:rFonts w:ascii="宋体" w:hAnsi="宋体" w:eastAsia="宋体"/>
                <w:b/>
                <w:highlight w:val="none"/>
              </w:rPr>
            </w:pPr>
            <w:r>
              <w:rPr>
                <w:rFonts w:hint="eastAsia" w:ascii="宋体" w:hAnsi="宋体" w:eastAsia="宋体" w:cs="宋体"/>
                <w:color w:val="000000"/>
                <w:kern w:val="0"/>
                <w:sz w:val="20"/>
                <w:szCs w:val="20"/>
                <w:highlight w:val="none"/>
              </w:rPr>
              <w:t>批</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1</w:t>
            </w:r>
          </w:p>
        </w:tc>
        <w:tc>
          <w:tcPr>
            <w:tcW w:w="898" w:type="dxa"/>
            <w:vAlign w:val="center"/>
          </w:tcPr>
          <w:p>
            <w:pPr>
              <w:spacing w:line="300" w:lineRule="exact"/>
              <w:jc w:val="right"/>
              <w:rPr>
                <w:rFonts w:ascii="宋体" w:hAnsi="宋体" w:eastAsia="宋体"/>
                <w:highlight w:val="none"/>
              </w:rPr>
            </w:pPr>
            <w:r>
              <w:rPr>
                <w:rFonts w:hint="eastAsia" w:ascii="宋体" w:hAnsi="宋体" w:eastAsia="宋体"/>
                <w:highlight w:val="none"/>
              </w:rPr>
              <w:t>30</w:t>
            </w:r>
          </w:p>
        </w:tc>
        <w:tc>
          <w:tcPr>
            <w:tcW w:w="895" w:type="dxa"/>
            <w:vAlign w:val="center"/>
          </w:tcPr>
          <w:p>
            <w:pPr>
              <w:jc w:val="center"/>
              <w:rPr>
                <w:rFonts w:hint="default" w:ascii="宋体" w:hAnsi="宋体" w:cs="宋体"/>
                <w:sz w:val="22"/>
                <w:szCs w:val="22"/>
                <w:highlight w:val="none"/>
                <w:lang w:val="en-US"/>
              </w:rPr>
            </w:pPr>
            <w:r>
              <w:rPr>
                <w:rFonts w:hint="default" w:ascii="宋体" w:hAnsi="宋体" w:cs="宋体"/>
                <w:sz w:val="22"/>
                <w:szCs w:val="22"/>
                <w:highlight w:val="none"/>
                <w:lang w:val="en-US"/>
              </w:rPr>
              <w:t>30</w:t>
            </w:r>
          </w:p>
        </w:tc>
        <w:tc>
          <w:tcPr>
            <w:tcW w:w="900" w:type="dxa"/>
            <w:vAlign w:val="center"/>
          </w:tcPr>
          <w:p>
            <w:pPr>
              <w:jc w:val="center"/>
              <w:rPr>
                <w:rFonts w:ascii="宋体" w:hAnsi="宋体" w:cs="宋体"/>
                <w:sz w:val="22"/>
                <w:szCs w:val="22"/>
                <w:highlight w:val="none"/>
              </w:rPr>
            </w:pPr>
            <w:r>
              <w:rPr>
                <w:rFonts w:hint="eastAsia" w:ascii="宋体" w:hAnsi="宋体" w:cs="宋体"/>
                <w:sz w:val="22"/>
                <w:szCs w:val="22"/>
                <w:highlight w:val="none"/>
              </w:rPr>
              <w:t>30</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30</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bl>
    <w:p>
      <w:pPr>
        <w:rPr>
          <w:highlight w:val="none"/>
        </w:rPr>
      </w:pPr>
    </w:p>
    <w:tbl>
      <w:tblPr>
        <w:tblStyle w:val="9"/>
        <w:tblW w:w="13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986"/>
        <w:gridCol w:w="1429"/>
        <w:gridCol w:w="1140"/>
        <w:gridCol w:w="706"/>
        <w:gridCol w:w="707"/>
        <w:gridCol w:w="894"/>
        <w:gridCol w:w="909"/>
        <w:gridCol w:w="880"/>
        <w:gridCol w:w="1009"/>
        <w:gridCol w:w="707"/>
        <w:gridCol w:w="707"/>
        <w:gridCol w:w="692"/>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车辆燃料费</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车辆加油服务</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C050302</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77</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10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车辆维修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维修和保养服务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C05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62</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车辆保险</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维修和保养服务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C05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64</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迎宾大道墙体立面余装及户外广告翻新</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广告服务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C0806</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除臭剂 </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14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其他货物</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w:t>
            </w:r>
          </w:p>
        </w:tc>
        <w:tc>
          <w:tcPr>
            <w:tcW w:w="7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吨</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50</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10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抑尘剂</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600.00 </w:t>
            </w:r>
          </w:p>
        </w:tc>
        <w:tc>
          <w:tcPr>
            <w:tcW w:w="14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其他货物</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w:t>
            </w:r>
          </w:p>
        </w:tc>
        <w:tc>
          <w:tcPr>
            <w:tcW w:w="7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吨</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600.00 </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600.00 </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600.00</w:t>
            </w:r>
          </w:p>
        </w:tc>
        <w:tc>
          <w:tcPr>
            <w:tcW w:w="100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600.00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车辆购置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其他专用汽车</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A02030799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果皮箱</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垃圾容器</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A9901</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480</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厕所保洁市场化</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城镇公共卫生服务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C1601</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环卫新建公厕</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市政公共设施用房施工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B0113</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座</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2021年春节亮化</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广告服务</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C0806</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10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弘康路路灯安装</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92.3</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时代路路灯安装</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77.26 </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77.26 </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77.26 </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77.26</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77.26</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昝白路路灯安装</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85.71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85.71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85.71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85.71</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85.71</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安康路路灯安装</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10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胜利大街（北环路至北一环）</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国税局北侧路（富强大街至富民大街）</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泰阁西侧、北侧路（北一环东至京白路）</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天津街（仁和南、中路））</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新大桥路灯电缆</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其他货物</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路灯智能控制系统</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电子自动化工程安装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B060103</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雁领路及周边4条路路灯安装</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金华街路灯安装</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14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10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白沟新城顾村苗圃移栽项目</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10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兴胜大街绿化改造</w:t>
            </w:r>
          </w:p>
        </w:tc>
        <w:tc>
          <w:tcPr>
            <w:tcW w:w="9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9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200.00 </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0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7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五一路提升改造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城市广场提升改造        </w:t>
            </w:r>
            <w:r>
              <w:rPr>
                <w:rFonts w:hint="eastAsia" w:ascii="宋体" w:hAnsi="宋体" w:cs="宋体"/>
                <w:color w:val="FF0000"/>
                <w:kern w:val="0"/>
                <w:sz w:val="22"/>
                <w:szCs w:val="22"/>
                <w:highlight w:val="none"/>
              </w:rPr>
              <w:t xml:space="preserve">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白沟公园提升改造</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行政大厅南侧绿地改造游园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兴隆大街与五一路交叉口西北角改造游园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大桥北西侧绿地改造游园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北一环与十白路交叉口新建2处游园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泰阁门口提升改造游园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编制城市绿地系统规划</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0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东一环提升改造</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北一环提升改造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城区绿化景观设计费</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工程设计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C1003</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行道树安装树池篦子</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1009" w:type="dxa"/>
            <w:tcBorders>
              <w:top w:val="single" w:color="auto" w:sz="4" w:space="0"/>
              <w:left w:val="nil"/>
              <w:bottom w:val="single" w:color="auto" w:sz="4" w:space="0"/>
              <w:right w:val="single" w:color="auto" w:sz="4" w:space="0"/>
            </w:tcBorders>
            <w:vAlign w:val="center"/>
          </w:tcPr>
          <w:p>
            <w:pPr>
              <w:ind w:left="12"/>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兴隆大街提升改造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白沟新城排水综合改造工程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768.99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768.99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768.99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768.99</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768.99</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2020年白沟道路提升项目工程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2187.00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2187.00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2187.00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2187.00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2187.00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雨污分流改造二期工程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2000.00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2000.00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服饰广场周边道路提升工程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776.00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776.00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776.00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776.00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776.00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白沟镇污水处理厂项目工程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1200.00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1200.00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1200.00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1200.00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1200.00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白沟第二污水处理厂扩容项目工程</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3300.00 </w:t>
            </w:r>
          </w:p>
        </w:tc>
        <w:tc>
          <w:tcPr>
            <w:tcW w:w="14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3300.00 </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3300.00 </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3300.00</w:t>
            </w:r>
          </w:p>
        </w:tc>
        <w:tc>
          <w:tcPr>
            <w:tcW w:w="100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3300.00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污水处理厂蓄水池除臭设备安装工程 </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230.90 </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230.90 </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230.90 </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230.90</w:t>
            </w:r>
          </w:p>
        </w:tc>
        <w:tc>
          <w:tcPr>
            <w:tcW w:w="100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230.90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星田街便道改造工程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122.08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122.08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122.08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122.08</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122.08</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许庄安置区便道工程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141.00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141.00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141.00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141.00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141.00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安康路与兴胜大街提升改造工程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200.00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勤政路（兴胜大街到兴隆大街）道路罩面工程 </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82.30</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10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市政2021年城区道路维修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45.00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45.00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45.00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45.00 </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45.00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市政2021年城区便道维修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75.00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75.00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75.00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75.00 </w:t>
            </w:r>
          </w:p>
        </w:tc>
        <w:tc>
          <w:tcPr>
            <w:tcW w:w="10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75.00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市政2021年城区排水管网维修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100.00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100.00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污泥处理项目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600.00 </w:t>
            </w:r>
          </w:p>
        </w:tc>
        <w:tc>
          <w:tcPr>
            <w:tcW w:w="142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其他服务</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C99</w:t>
            </w:r>
          </w:p>
        </w:tc>
        <w:tc>
          <w:tcPr>
            <w:tcW w:w="7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600.00 </w:t>
            </w:r>
          </w:p>
        </w:tc>
        <w:tc>
          <w:tcPr>
            <w:tcW w:w="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600.00 </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600.00</w:t>
            </w:r>
          </w:p>
        </w:tc>
        <w:tc>
          <w:tcPr>
            <w:tcW w:w="1009"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600.00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市政排水入网维修检测</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100.00 </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市政公共设施管理服务</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C1302</w:t>
            </w:r>
          </w:p>
        </w:tc>
        <w:tc>
          <w:tcPr>
            <w:tcW w:w="7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10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100.00</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污水处理厂安装混合取样厂区地下室检测费</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市政公共设施管理服务</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C1302</w:t>
            </w:r>
          </w:p>
        </w:tc>
        <w:tc>
          <w:tcPr>
            <w:tcW w:w="7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9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10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23.00</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7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bl>
    <w:p>
      <w:pPr>
        <w:rPr>
          <w:rFonts w:ascii="黑体" w:hAnsi="黑体" w:eastAsia="黑体"/>
          <w:sz w:val="32"/>
          <w:szCs w:val="32"/>
          <w:highlight w:val="none"/>
        </w:rPr>
      </w:pPr>
    </w:p>
    <w:p>
      <w:pPr>
        <w:jc w:val="center"/>
        <w:rPr>
          <w:rFonts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pPr>
        <w:spacing w:line="500" w:lineRule="exact"/>
        <w:ind w:firstLine="640" w:firstLineChars="200"/>
        <w:rPr>
          <w:rFonts w:eastAsia="方正仿宋_GBK"/>
          <w:sz w:val="28"/>
          <w:highlight w:val="none"/>
        </w:rPr>
      </w:pPr>
      <w:r>
        <w:rPr>
          <w:rFonts w:hint="eastAsia" w:ascii="仿宋" w:hAnsi="仿宋" w:eastAsia="仿宋" w:cs="仿宋"/>
          <w:sz w:val="32"/>
          <w:szCs w:val="32"/>
          <w:highlight w:val="none"/>
        </w:rPr>
        <w:t>白沟镇综合行政执法办公室</w:t>
      </w:r>
      <w:r>
        <w:rPr>
          <w:rFonts w:hint="eastAsia" w:ascii="仿宋" w:hAnsi="仿宋" w:eastAsia="仿宋" w:cs="仿宋"/>
          <w:sz w:val="32"/>
          <w:szCs w:val="32"/>
          <w:highlight w:val="none"/>
        </w:rPr>
        <w:t>上年末固定资产金额为</w:t>
      </w:r>
      <w:r>
        <w:rPr>
          <w:rFonts w:hint="eastAsia" w:ascii="仿宋" w:hAnsi="仿宋" w:eastAsia="仿宋" w:cs="仿宋"/>
          <w:sz w:val="32"/>
          <w:szCs w:val="32"/>
          <w:highlight w:val="none"/>
          <w:lang w:val="en-US" w:eastAsia="zh-CN"/>
        </w:rPr>
        <w:t>865.12</w:t>
      </w:r>
      <w:r>
        <w:rPr>
          <w:rFonts w:hint="eastAsia" w:ascii="仿宋" w:hAnsi="仿宋" w:eastAsia="仿宋" w:cs="仿宋"/>
          <w:sz w:val="32"/>
          <w:szCs w:val="32"/>
          <w:highlight w:val="none"/>
        </w:rPr>
        <w:t>万元（详见下表），本年度拟购置固定资产总额为30</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万元，主要为</w:t>
      </w:r>
      <w:r>
        <w:rPr>
          <w:rFonts w:hint="eastAsia" w:ascii="仿宋" w:hAnsi="仿宋" w:eastAsia="仿宋" w:cs="仿宋"/>
          <w:sz w:val="32"/>
          <w:szCs w:val="32"/>
          <w:highlight w:val="none"/>
          <w:lang w:val="en-US" w:eastAsia="zh-CN"/>
        </w:rPr>
        <w:t>车辆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果皮箱</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新建厕所</w:t>
      </w:r>
      <w:r>
        <w:rPr>
          <w:rFonts w:hint="eastAsia" w:ascii="仿宋" w:hAnsi="仿宋" w:eastAsia="仿宋" w:cs="仿宋"/>
          <w:sz w:val="32"/>
          <w:szCs w:val="32"/>
          <w:highlight w:val="none"/>
        </w:rPr>
        <w:t>等，已列入政府采购预算，详见政府采购预算表。</w:t>
      </w:r>
      <w:bookmarkStart w:id="1" w:name="_GoBack"/>
      <w:bookmarkEnd w:id="1"/>
    </w:p>
    <w:p>
      <w:pPr>
        <w:jc w:val="center"/>
        <w:rPr>
          <w:rFonts w:ascii="仿宋_GB2312" w:hAnsi="黑体" w:eastAsia="仿宋_GB2312"/>
          <w:sz w:val="32"/>
          <w:szCs w:val="32"/>
          <w:highlight w:val="none"/>
        </w:rPr>
      </w:pPr>
      <w:r>
        <w:rPr>
          <w:rFonts w:hint="eastAsia" w:ascii="黑体" w:hAnsi="黑体" w:eastAsia="黑体" w:cs="宋体"/>
          <w:bCs/>
          <w:kern w:val="0"/>
          <w:sz w:val="32"/>
          <w:szCs w:val="32"/>
          <w:highlight w:val="none"/>
        </w:rPr>
        <w:t>保定白沟新城</w:t>
      </w:r>
      <w:r>
        <w:rPr>
          <w:rFonts w:hint="eastAsia" w:ascii="黑体" w:hAnsi="黑体" w:eastAsia="黑体" w:cs="宋体"/>
          <w:bCs/>
          <w:kern w:val="0"/>
          <w:sz w:val="32"/>
          <w:szCs w:val="32"/>
          <w:highlight w:val="none"/>
          <w:lang w:val="en-US" w:eastAsia="zh-CN"/>
        </w:rPr>
        <w:t>单位</w:t>
      </w:r>
      <w:r>
        <w:rPr>
          <w:rFonts w:hint="eastAsia" w:ascii="黑体" w:hAnsi="黑体" w:eastAsia="黑体" w:cs="宋体"/>
          <w:bCs/>
          <w:kern w:val="0"/>
          <w:sz w:val="32"/>
          <w:szCs w:val="32"/>
          <w:highlight w:val="none"/>
        </w:rPr>
        <w:t>固定资产占用情况表</w:t>
      </w:r>
    </w:p>
    <w:tbl>
      <w:tblPr>
        <w:tblStyle w:val="9"/>
        <w:tblpPr w:leftFromText="180" w:rightFromText="180" w:vertAnchor="text" w:horzAnchor="page" w:tblpX="3853" w:tblpY="405"/>
        <w:tblOverlap w:val="never"/>
        <w:tblW w:w="9060" w:type="dxa"/>
        <w:tblInd w:w="0" w:type="dxa"/>
        <w:tblLayout w:type="fixed"/>
        <w:tblCellMar>
          <w:top w:w="0" w:type="dxa"/>
          <w:left w:w="108" w:type="dxa"/>
          <w:bottom w:w="0" w:type="dxa"/>
          <w:right w:w="108" w:type="dxa"/>
        </w:tblCellMar>
      </w:tblPr>
      <w:tblGrid>
        <w:gridCol w:w="3511"/>
        <w:gridCol w:w="1932"/>
        <w:gridCol w:w="3617"/>
      </w:tblGrid>
      <w:tr>
        <w:tblPrEx>
          <w:tblLayout w:type="fixed"/>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hint="default" w:ascii="方正小标宋_GBK" w:eastAsia="方正小标宋_GBK"/>
                <w:sz w:val="24"/>
                <w:highlight w:val="none"/>
                <w:lang w:val="en-US" w:eastAsia="zh-CN"/>
              </w:rPr>
            </w:pPr>
            <w:r>
              <w:rPr>
                <w:rFonts w:hint="eastAsia" w:ascii="方正小标宋_GBK" w:eastAsia="方正小标宋_GBK"/>
                <w:sz w:val="24"/>
                <w:highlight w:val="none"/>
                <w:lang w:val="en-US" w:eastAsia="zh-CN"/>
              </w:rPr>
              <w:t>333004</w:t>
            </w:r>
            <w:r>
              <w:rPr>
                <w:rFonts w:hint="eastAsia" w:ascii="宋体" w:hAnsi="宋体" w:cs="黑体"/>
                <w:b w:val="0"/>
                <w:bCs/>
                <w:sz w:val="28"/>
                <w:szCs w:val="28"/>
                <w:highlight w:val="none"/>
              </w:rPr>
              <w:t>白沟镇综合行政执法办公室</w:t>
            </w:r>
          </w:p>
        </w:tc>
        <w:tc>
          <w:tcPr>
            <w:tcW w:w="3617" w:type="dxa"/>
            <w:tcBorders>
              <w:top w:val="nil"/>
              <w:left w:val="nil"/>
              <w:bottom w:val="nil"/>
              <w:right w:val="nil"/>
            </w:tcBorders>
            <w:vAlign w:val="center"/>
          </w:tcPr>
          <w:p>
            <w:pPr>
              <w:spacing w:line="300" w:lineRule="exact"/>
              <w:rPr>
                <w:rFonts w:ascii="方正小标宋_GBK" w:eastAsia="方正小标宋_GBK"/>
                <w:sz w:val="24"/>
                <w:highlight w:val="none"/>
              </w:rPr>
            </w:pPr>
            <w:r>
              <w:rPr>
                <w:rFonts w:hint="eastAsia" w:ascii="方正小标宋_GBK" w:eastAsia="方正小标宋_GBK"/>
                <w:sz w:val="24"/>
                <w:highlight w:val="none"/>
              </w:rPr>
              <w:t xml:space="preserve">截止时间：2020年12月31日  </w:t>
            </w:r>
          </w:p>
        </w:tc>
      </w:tr>
      <w:tr>
        <w:tblPrEx>
          <w:tblLayout w:type="fixed"/>
          <w:tblCellMar>
            <w:top w:w="0" w:type="dxa"/>
            <w:left w:w="108" w:type="dxa"/>
            <w:bottom w:w="0" w:type="dxa"/>
            <w:right w:w="108" w:type="dxa"/>
          </w:tblCellMar>
        </w:tblPrEx>
        <w:trPr>
          <w:trHeight w:val="702"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highlight w:val="none"/>
              </w:rPr>
            </w:pPr>
            <w:r>
              <w:rPr>
                <w:rFonts w:hint="eastAsia" w:ascii="方正书宋_GBK" w:eastAsia="方正书宋_GBK"/>
                <w:kern w:val="0"/>
                <w:szCs w:val="21"/>
                <w:highlight w:val="none"/>
              </w:rPr>
              <w:t>——</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highlight w:val="none"/>
                <w:lang w:val="en-US" w:eastAsia="zh-CN"/>
              </w:rPr>
            </w:pPr>
            <w:r>
              <w:rPr>
                <w:rFonts w:hint="eastAsia" w:ascii="方正书宋_GBK" w:eastAsia="方正书宋_GBK"/>
                <w:kern w:val="0"/>
                <w:szCs w:val="21"/>
                <w:highlight w:val="none"/>
                <w:lang w:val="en-US" w:eastAsia="zh-CN"/>
              </w:rPr>
              <w:t>865.12</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szCs w:val="21"/>
                <w:highlight w:val="none"/>
                <w:lang w:val="en-US" w:eastAsia="zh-CN"/>
              </w:rPr>
            </w:pPr>
            <w:r>
              <w:rPr>
                <w:rFonts w:hint="eastAsia" w:ascii="方正书宋_GBK" w:eastAsia="方正书宋_GBK"/>
                <w:szCs w:val="21"/>
                <w:highlight w:val="none"/>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highlight w:val="none"/>
                <w:lang w:val="en-US" w:eastAsia="zh-CN"/>
              </w:rPr>
            </w:pPr>
            <w:r>
              <w:rPr>
                <w:rFonts w:hint="eastAsia" w:ascii="方正书宋_GBK" w:eastAsia="方正书宋_GBK"/>
                <w:szCs w:val="21"/>
                <w:highlight w:val="none"/>
                <w:lang w:val="en-US" w:eastAsia="zh-CN"/>
              </w:rPr>
              <w:t>865.12</w:t>
            </w:r>
          </w:p>
        </w:tc>
      </w:tr>
    </w:tbl>
    <w:p>
      <w:pPr>
        <w:spacing w:line="500" w:lineRule="exact"/>
        <w:jc w:val="both"/>
        <w:outlineLvl w:val="0"/>
        <w:rPr>
          <w:rFonts w:hint="eastAsia" w:ascii="黑体" w:hAnsi="黑体" w:eastAsia="黑体"/>
          <w:b/>
          <w:bCs/>
          <w:sz w:val="32"/>
          <w:szCs w:val="32"/>
          <w:highlight w:val="none"/>
        </w:rPr>
      </w:pPr>
    </w:p>
    <w:p>
      <w:pPr>
        <w:spacing w:line="500" w:lineRule="exact"/>
        <w:jc w:val="both"/>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3" w:firstLineChars="200"/>
        <w:jc w:val="left"/>
        <w:outlineLvl w:val="0"/>
        <w:rPr>
          <w:rFonts w:hint="eastAsia" w:ascii="仿宋" w:hAnsi="仿宋" w:eastAsia="仿宋"/>
          <w:b w:val="0"/>
          <w:bCs/>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b w:val="0"/>
          <w:bCs/>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3" w:firstLineChars="200"/>
        <w:jc w:val="left"/>
        <w:outlineLvl w:val="0"/>
        <w:rPr>
          <w:rFonts w:ascii="宋体" w:cs="宋体"/>
          <w:sz w:val="30"/>
          <w:szCs w:val="30"/>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b w:val="0"/>
          <w:bCs/>
          <w:sz w:val="32"/>
          <w:szCs w:val="32"/>
          <w:highlight w:val="none"/>
        </w:rPr>
        <w:t>包括办公费、水电费、邮电费、取暖费、交通费、一般会议费和物业管理费之和。</w:t>
      </w:r>
    </w:p>
    <w:p>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pPr>
        <w:spacing w:line="500" w:lineRule="exact"/>
        <w:ind w:firstLine="560" w:firstLineChars="200"/>
        <w:jc w:val="left"/>
        <w:rPr>
          <w:rFonts w:ascii="Times New Roman" w:eastAsia="方正仿宋_GBK"/>
          <w:sz w:val="28"/>
          <w:highlight w:val="none"/>
        </w:rPr>
      </w:pPr>
    </w:p>
    <w:p>
      <w:pPr>
        <w:ind w:firstLine="800" w:firstLineChars="250"/>
        <w:rPr>
          <w:rFonts w:hint="eastAsia" w:ascii="仿宋" w:hAnsi="仿宋" w:eastAsia="仿宋"/>
          <w:sz w:val="32"/>
          <w:szCs w:val="32"/>
          <w:highlight w:val="none"/>
        </w:rPr>
      </w:pPr>
      <w:r>
        <w:rPr>
          <w:rFonts w:hint="eastAsia" w:ascii="仿宋" w:hAnsi="仿宋" w:eastAsia="仿宋"/>
          <w:sz w:val="32"/>
          <w:szCs w:val="32"/>
          <w:highlight w:val="none"/>
        </w:rPr>
        <w:t>我单位无其他需要说明的事项。</w:t>
      </w: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8"/>
      <w:numFmt w:val="japaneseCounting"/>
      <w:lvlText w:val="（%1）"/>
      <w:lvlJc w:val="left"/>
      <w:pPr>
        <w:ind w:left="2040" w:hanging="108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0">
    <w:nsid w:val="00000000"/>
    <w:multiLevelType w:val="singleLevel"/>
    <w:tmpl w:val="00000000"/>
    <w:lvl w:ilvl="0" w:tentative="1">
      <w:start w:val="1"/>
      <w:numFmt w:val="chineseCounting"/>
      <w:suff w:val="nothing"/>
      <w:lvlText w:val="%1、"/>
      <w:lvlJc w:val="left"/>
    </w:lvl>
  </w:abstractNum>
  <w:abstractNum w:abstractNumId="1">
    <w:nsid w:val="00000001"/>
    <w:multiLevelType w:val="multilevel"/>
    <w:tmpl w:val="00000001"/>
    <w:lvl w:ilvl="0" w:tentative="1">
      <w:start w:val="10"/>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11F1B"/>
    <w:rsid w:val="6BD3019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spacing w:line="1300" w:lineRule="exact"/>
      <w:ind w:left="840" w:leftChars="400"/>
    </w:pPr>
    <w:rPr>
      <w:szCs w:val="22"/>
    </w:rPr>
  </w:style>
  <w:style w:type="paragraph" w:styleId="3">
    <w:name w:val="footer"/>
    <w:basedOn w:val="1"/>
    <w:link w:val="10"/>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styleId="5">
    <w:name w:val="toc 4"/>
    <w:basedOn w:val="1"/>
    <w:next w:val="1"/>
    <w:qFormat/>
    <w:uiPriority w:val="0"/>
    <w:pPr>
      <w:spacing w:line="1300" w:lineRule="exact"/>
      <w:ind w:left="1260" w:leftChars="600"/>
    </w:pPr>
    <w:rPr>
      <w:szCs w:val="22"/>
    </w:rPr>
  </w:style>
  <w:style w:type="paragraph" w:styleId="6">
    <w:name w:val="toc 2"/>
    <w:basedOn w:val="1"/>
    <w:next w:val="1"/>
    <w:qFormat/>
    <w:uiPriority w:val="0"/>
    <w:pPr>
      <w:spacing w:line="1300" w:lineRule="exact"/>
      <w:ind w:left="420" w:leftChars="200"/>
    </w:pPr>
    <w:rPr>
      <w:szCs w:val="22"/>
    </w:rPr>
  </w:style>
  <w:style w:type="character" w:styleId="8">
    <w:name w:val="Hyperlink"/>
    <w:basedOn w:val="7"/>
    <w:qFormat/>
    <w:uiPriority w:val="0"/>
    <w:rPr>
      <w:color w:val="0000FF"/>
      <w:u w:val="single"/>
    </w:rPr>
  </w:style>
  <w:style w:type="character" w:customStyle="1" w:styleId="10">
    <w:name w:val="页脚 Char"/>
    <w:basedOn w:val="7"/>
    <w:link w:val="3"/>
    <w:qFormat/>
    <w:uiPriority w:val="0"/>
    <w:rPr>
      <w:rFonts w:cs="Times New Roman"/>
      <w:kern w:val="2"/>
      <w:sz w:val="18"/>
      <w:szCs w:val="18"/>
    </w:rPr>
  </w:style>
  <w:style w:type="character" w:customStyle="1" w:styleId="11">
    <w:name w:val="页眉 Char"/>
    <w:basedOn w:val="7"/>
    <w:link w:val="4"/>
    <w:qFormat/>
    <w:uiPriority w:val="0"/>
    <w:rPr>
      <w:rFonts w:cs="Times New Roman"/>
      <w:kern w:val="2"/>
      <w:sz w:val="18"/>
      <w:szCs w:val="18"/>
    </w:rPr>
  </w:style>
  <w:style w:type="paragraph" w:customStyle="1" w:styleId="12">
    <w:name w:val="Normal (Web)_68d2a9f2-7828-4bb6-a554-3fb1ba801c5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List Paragraph1"/>
    <w:basedOn w:val="1"/>
    <w:qFormat/>
    <w:uiPriority w:val="0"/>
    <w:pPr>
      <w:ind w:firstLine="420" w:firstLineChars="200"/>
    </w:pPr>
  </w:style>
  <w:style w:type="paragraph" w:customStyle="1" w:styleId="1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5">
    <w:name w:val="List Paragraph_7cd576ac-6bbf-4852-8a9a-0cd28d6377cc"/>
    <w:basedOn w:val="1"/>
    <w:qFormat/>
    <w:uiPriority w:val="0"/>
    <w:pPr>
      <w:ind w:firstLine="420" w:firstLineChars="200"/>
    </w:pPr>
  </w:style>
  <w:style w:type="character" w:customStyle="1" w:styleId="16">
    <w:name w:val="page number_38b728f4-0815-4088-a845-2a3fe753e57a"/>
    <w:basedOn w:val="7"/>
    <w:qFormat/>
    <w:uiPriority w:val="0"/>
  </w:style>
  <w:style w:type="character" w:customStyle="1" w:styleId="17">
    <w:name w:val="apple-converted-space"/>
    <w:basedOn w:val="7"/>
    <w:qFormat/>
    <w:uiPriority w:val="0"/>
    <w:rPr>
      <w:rFonts w:cs="Times New Roman"/>
    </w:rPr>
  </w:style>
  <w:style w:type="character" w:customStyle="1" w:styleId="18">
    <w:name w:val="fontstyle11"/>
    <w:basedOn w:val="7"/>
    <w:qFormat/>
    <w:uiPriority w:val="0"/>
    <w:rPr>
      <w:rFonts w:ascii="仿宋" w:hAnsi="仿宋" w:eastAsia="仿宋" w:cs="仿宋"/>
      <w:color w:val="000000"/>
      <w:sz w:val="32"/>
      <w:szCs w:val="32"/>
    </w:rPr>
  </w:style>
  <w:style w:type="character" w:customStyle="1" w:styleId="19">
    <w:name w:val="fontstyle41"/>
    <w:basedOn w:val="7"/>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13729</Words>
  <Characters>16266</Characters>
  <Lines>0</Lines>
  <Paragraphs>3832</Paragraphs>
  <ScaleCrop>false</ScaleCrop>
  <LinksUpToDate>false</LinksUpToDate>
  <CharactersWithSpaces>16678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2021-03-05T14:29:00Z</dcterms:created>
  <dc:creator>Administrator</dc:creator>
  <cp:lastModifiedBy>Administrator</cp:lastModifiedBy>
  <cp:lastPrinted>2021-02-26T13:42:00Z</cp:lastPrinted>
  <dcterms:modified xsi:type="dcterms:W3CDTF">2022-09-17T10:19:10Z</dcterms:modified>
  <dc:title>清苑区环境保护局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E90ED7D539C4468F898AB2513027EB64</vt:lpwstr>
  </property>
</Properties>
</file>