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r>
        <w:rPr>
          <w:rFonts w:hint="eastAsia" w:ascii="宋体" w:hAnsi="宋体" w:cs="黑体"/>
          <w:b/>
          <w:sz w:val="44"/>
          <w:szCs w:val="44"/>
        </w:rPr>
        <w:t>保定白沟新城</w:t>
      </w:r>
      <w:r>
        <w:rPr>
          <w:rFonts w:hint="eastAsia" w:ascii="宋体" w:hAnsi="宋体" w:cs="黑体"/>
          <w:b/>
          <w:sz w:val="44"/>
          <w:szCs w:val="44"/>
          <w:lang w:val="en-US" w:eastAsia="zh-CN"/>
        </w:rPr>
        <w:t>纪工委</w:t>
      </w:r>
    </w:p>
    <w:p>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部门</w:t>
      </w:r>
      <w:r>
        <w:rPr>
          <w:rFonts w:hint="eastAsia" w:ascii="宋体" w:hAnsi="宋体"/>
          <w:b/>
          <w:sz w:val="44"/>
          <w:szCs w:val="44"/>
        </w:rPr>
        <w:t>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纪工委</w:t>
      </w:r>
      <w:r>
        <w:rPr>
          <w:rFonts w:hint="eastAsia" w:ascii="仿宋" w:hAnsi="仿宋" w:eastAsia="仿宋" w:cs="仿宋_GB2312"/>
          <w:sz w:val="32"/>
          <w:szCs w:val="32"/>
          <w:lang w:eastAsia="zh-CN"/>
        </w:rPr>
        <w:t>2022年部门</w:t>
      </w:r>
      <w:r>
        <w:rPr>
          <w:rFonts w:hint="eastAsia" w:ascii="仿宋" w:hAnsi="仿宋" w:eastAsia="仿宋" w:cs="仿宋_GB2312"/>
          <w:sz w:val="32"/>
          <w:szCs w:val="32"/>
        </w:rPr>
        <w:t>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部门</w:t>
      </w:r>
      <w:r>
        <w:rPr>
          <w:rFonts w:hint="eastAsia" w:ascii="黑体" w:hAnsi="黑体" w:eastAsia="黑体"/>
          <w:sz w:val="32"/>
          <w:szCs w:val="32"/>
        </w:rPr>
        <w:t>职责及机构设置情况</w:t>
      </w:r>
    </w:p>
    <w:p>
      <w:pPr>
        <w:numPr>
          <w:ilvl w:val="0"/>
          <w:numId w:val="1"/>
        </w:numPr>
        <w:ind w:firstLine="643" w:firstLineChars="200"/>
        <w:rPr>
          <w:rFonts w:ascii="宋体" w:cs="宋体"/>
          <w:b/>
          <w:sz w:val="32"/>
          <w:szCs w:val="32"/>
        </w:rPr>
      </w:pPr>
      <w:r>
        <w:rPr>
          <w:rFonts w:hint="eastAsia" w:ascii="宋体" w:hAnsi="宋体" w:cs="宋体"/>
          <w:b/>
          <w:sz w:val="32"/>
          <w:szCs w:val="32"/>
          <w:lang w:eastAsia="zh-CN"/>
        </w:rPr>
        <w:t>部门</w:t>
      </w:r>
      <w:r>
        <w:rPr>
          <w:rFonts w:hint="eastAsia" w:ascii="宋体" w:hAnsi="宋体" w:cs="宋体"/>
          <w:b/>
          <w:sz w:val="32"/>
          <w:szCs w:val="32"/>
        </w:rPr>
        <w:t>职责</w:t>
      </w:r>
    </w:p>
    <w:p>
      <w:pPr>
        <w:spacing w:line="50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根据《中国共产党保定白沟新城纪律检查工作委员会职能配置、内设机构和人员编制规定》， 中国共产党保定白沟新城纪律检查工作委员会的主要职责是：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根据保定市编委下发《关于印发白沟新城主要职责内设机构和人员编制规定的通知》（保编字〔2010〕44号）规定，中共保定市白沟新城纪工委、监察室联合办公，主要职责是：</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（一）主管全区党的纪律检查工作。负责贯彻落实上级党委、纪委和党工委、管委会关于加强党风廉政建设的决定，维护党的章程和党的其他法规，检查党的路线、方针、政策和决议的执行情况。</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（三）负责做出维护党纪的决定，制定党风党纪教育规划，配合有关部门做好党的纪检工作方针、政策的宣传和对党员遵守纪律的教育工作。</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（四）负责对党的纪律检查工作理论有关问题进行调查研究，拟定全区党纪条规和政策规定。</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w:t>
      </w:r>
      <w:r>
        <w:rPr>
          <w:rFonts w:hint="eastAsia" w:ascii="仿宋" w:hAnsi="仿宋" w:eastAsia="仿宋" w:cs="仿宋"/>
          <w:sz w:val="32"/>
          <w:szCs w:val="32"/>
          <w:lang w:eastAsia="zh-CN"/>
        </w:rPr>
        <w:t>部门</w:t>
      </w:r>
      <w:r>
        <w:rPr>
          <w:rFonts w:hint="eastAsia" w:ascii="仿宋" w:hAnsi="仿宋" w:eastAsia="仿宋" w:cs="仿宋"/>
          <w:sz w:val="32"/>
          <w:szCs w:val="32"/>
        </w:rPr>
        <w:t>对监察对象违纪行为的检举、控告。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（八）会同有关部门做好政监察工作方针政策和法律法规的宣传工作，教育国家工作人员遵纪守法，为政清廉。</w:t>
      </w:r>
    </w:p>
    <w:p>
      <w:pPr>
        <w:spacing w:line="500" w:lineRule="exact"/>
        <w:jc w:val="left"/>
        <w:sectPr>
          <w:footerReference r:id="rId3" w:type="default"/>
          <w:pgSz w:w="11906" w:h="16838"/>
          <w:pgMar w:top="1440" w:right="1800" w:bottom="1440" w:left="1800" w:header="851" w:footer="992" w:gutter="0"/>
          <w:pgNumType w:start="1"/>
          <w:cols w:space="720" w:num="1"/>
          <w:rtlGutter w:val="0"/>
          <w:docGrid w:type="lines" w:linePitch="312" w:charSpace="0"/>
        </w:sectPr>
      </w:pPr>
    </w:p>
    <w:p>
      <w:pPr>
        <w:numPr>
          <w:ilvl w:val="0"/>
          <w:numId w:val="0"/>
        </w:numPr>
        <w:rPr>
          <w:rFonts w:ascii="宋体" w:cs="宋体"/>
          <w:b/>
          <w:sz w:val="32"/>
          <w:szCs w:val="32"/>
        </w:rPr>
      </w:pPr>
    </w:p>
    <w:p>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5"/>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eastAsia="zh-CN"/>
              </w:rPr>
              <w:t>部门</w:t>
            </w:r>
            <w:r>
              <w:rPr>
                <w:rFonts w:hint="eastAsia" w:ascii="仿宋" w:hAnsi="仿宋" w:eastAsia="仿宋" w:cs="仿宋"/>
                <w:b/>
                <w:bCs/>
                <w:color w:val="000000"/>
                <w:kern w:val="0"/>
                <w:sz w:val="24"/>
              </w:rPr>
              <w:t>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eastAsia="zh-CN"/>
              </w:rPr>
              <w:t>单位</w:t>
            </w:r>
            <w:r>
              <w:rPr>
                <w:rFonts w:hint="eastAsia" w:ascii="仿宋" w:hAnsi="仿宋" w:eastAsia="仿宋" w:cs="仿宋"/>
                <w:b/>
                <w:bCs/>
                <w:color w:val="000000"/>
                <w:kern w:val="0"/>
                <w:sz w:val="24"/>
              </w:rPr>
              <w:t>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eastAsia="zh-CN"/>
              </w:rPr>
              <w:t>单位</w:t>
            </w:r>
            <w:r>
              <w:rPr>
                <w:rFonts w:hint="eastAsia" w:ascii="仿宋" w:hAnsi="仿宋" w:eastAsia="仿宋" w:cs="仿宋"/>
                <w:b/>
                <w:bCs/>
                <w:color w:val="000000"/>
                <w:kern w:val="0"/>
                <w:sz w:val="24"/>
              </w:rPr>
              <w:t>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1"/>
                <w:szCs w:val="21"/>
                <w:lang w:val="en-US" w:eastAsia="zh-CN"/>
              </w:rPr>
              <w:t>中国共产党保定白沟新城纪律检查工作委员会</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财政拨款</w:t>
            </w:r>
          </w:p>
        </w:tc>
      </w:tr>
    </w:tbl>
    <w:p>
      <w:pPr>
        <w:jc w:val="center"/>
        <w:outlineLvl w:val="0"/>
        <w:rPr>
          <w:rFonts w:ascii="黑体" w:hAnsi="黑体" w:eastAsia="黑体"/>
          <w:b/>
          <w:sz w:val="32"/>
        </w:rPr>
      </w:pPr>
    </w:p>
    <w:p>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部门</w:t>
      </w:r>
      <w:r>
        <w:rPr>
          <w:rFonts w:hint="eastAsia" w:ascii="黑体" w:hAnsi="黑体" w:eastAsia="黑体"/>
          <w:sz w:val="32"/>
          <w:szCs w:val="32"/>
        </w:rPr>
        <w:t>预算安排的总体情况</w:t>
      </w:r>
    </w:p>
    <w:p>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eastAsia="zh-CN"/>
        </w:rPr>
        <w:t>部门</w:t>
      </w:r>
      <w:r>
        <w:rPr>
          <w:rFonts w:hint="eastAsia" w:ascii="仿宋" w:hAnsi="仿宋" w:eastAsia="仿宋"/>
          <w:sz w:val="32"/>
          <w:szCs w:val="32"/>
        </w:rPr>
        <w:t>收入预算总额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105.32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10.65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98.75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2022年部门</w:t>
      </w:r>
      <w:r>
        <w:rPr>
          <w:rFonts w:hint="eastAsia" w:ascii="仿宋" w:hAnsi="仿宋" w:eastAsia="仿宋"/>
          <w:sz w:val="32"/>
          <w:szCs w:val="32"/>
        </w:rPr>
        <w:t>支出安排预算总额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115.97</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105.32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10.65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98.75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214.72</w:t>
      </w:r>
      <w:r>
        <w:rPr>
          <w:rFonts w:hint="eastAsia" w:ascii="仿宋" w:hAnsi="仿宋" w:eastAsia="仿宋"/>
          <w:sz w:val="32"/>
          <w:szCs w:val="32"/>
        </w:rPr>
        <w:t>万元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214.72</w:t>
      </w:r>
      <w:r>
        <w:rPr>
          <w:rFonts w:hint="eastAsia" w:ascii="仿宋" w:hAnsi="仿宋" w:eastAsia="仿宋"/>
          <w:sz w:val="32"/>
          <w:szCs w:val="32"/>
        </w:rPr>
        <w:t>万元，较上年增加</w:t>
      </w:r>
      <w:r>
        <w:rPr>
          <w:rFonts w:hint="eastAsia" w:ascii="仿宋" w:hAnsi="仿宋" w:eastAsia="仿宋"/>
          <w:sz w:val="32"/>
          <w:szCs w:val="32"/>
          <w:lang w:val="en-US" w:eastAsia="zh-CN"/>
        </w:rPr>
        <w:t>38.05</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eastAsia="zh-CN"/>
        </w:rPr>
        <w:t>巡察工作经费</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15万元</w:t>
      </w:r>
      <w:r>
        <w:rPr>
          <w:rFonts w:hint="eastAsia" w:ascii="仿宋" w:hAnsi="仿宋" w:eastAsia="仿宋"/>
          <w:sz w:val="32"/>
          <w:szCs w:val="32"/>
          <w:lang w:eastAsia="zh-CN"/>
        </w:rPr>
        <w:t>，市管会调入人员专项经费</w:t>
      </w:r>
      <w:r>
        <w:rPr>
          <w:rFonts w:hint="eastAsia" w:ascii="仿宋" w:hAnsi="仿宋" w:eastAsia="仿宋"/>
          <w:sz w:val="32"/>
          <w:szCs w:val="32"/>
          <w:lang w:val="en-US" w:eastAsia="zh-CN"/>
        </w:rPr>
        <w:t>11.12万元，纪检监察系统内网和视频会议室建设项目经费8万元，</w:t>
      </w:r>
      <w:r>
        <w:rPr>
          <w:rFonts w:hint="eastAsia" w:ascii="仿宋" w:hAnsi="仿宋" w:eastAsia="仿宋"/>
          <w:sz w:val="32"/>
          <w:szCs w:val="32"/>
          <w:lang w:eastAsia="zh-CN"/>
        </w:rPr>
        <w:t>增加原因：因工作需要。</w:t>
      </w:r>
    </w:p>
    <w:p>
      <w:pPr>
        <w:autoSpaceDE w:val="0"/>
        <w:autoSpaceDN w:val="0"/>
        <w:adjustRightInd w:val="0"/>
        <w:spacing w:line="600" w:lineRule="exact"/>
        <w:ind w:firstLine="640"/>
        <w:jc w:val="both"/>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autoSpaceDE w:val="0"/>
        <w:autoSpaceDN w:val="0"/>
        <w:adjustRightInd w:val="0"/>
        <w:spacing w:line="600" w:lineRule="exact"/>
        <w:ind w:firstLine="640"/>
        <w:jc w:val="left"/>
        <w:rPr>
          <w:rFonts w:hint="eastAsia" w:ascii="方正仿宋_GBK" w:hAnsi="方正仿宋_GBK" w:eastAsia="方正仿宋_GBK" w:cs="方正仿宋_GBK"/>
          <w:sz w:val="28"/>
          <w:szCs w:val="28"/>
          <w:lang w:val="zh-CN"/>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10.65</w:t>
      </w:r>
      <w:r>
        <w:rPr>
          <w:rFonts w:hint="eastAsia" w:ascii="仿宋" w:hAnsi="仿宋" w:eastAsia="仿宋" w:cs="宋体"/>
          <w:sz w:val="30"/>
          <w:szCs w:val="30"/>
        </w:rPr>
        <w:t>万元，其中</w:t>
      </w:r>
      <w:r>
        <w:rPr>
          <w:rFonts w:hint="eastAsia" w:ascii="仿宋" w:hAnsi="仿宋" w:eastAsia="仿宋" w:cs="仿宋"/>
          <w:sz w:val="32"/>
          <w:szCs w:val="32"/>
        </w:rPr>
        <w:t>其中办公费</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1.02</w:t>
      </w:r>
      <w:r>
        <w:rPr>
          <w:rFonts w:hint="eastAsia" w:ascii="仿宋" w:hAnsi="仿宋" w:eastAsia="仿宋" w:cs="仿宋"/>
          <w:sz w:val="32"/>
          <w:szCs w:val="32"/>
        </w:rPr>
        <w:t>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0.2万元，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公务交通补贴</w:t>
      </w:r>
      <w:r>
        <w:rPr>
          <w:rFonts w:hint="eastAsia" w:ascii="仿宋" w:hAnsi="仿宋" w:eastAsia="仿宋" w:cs="仿宋"/>
          <w:sz w:val="32"/>
          <w:szCs w:val="32"/>
          <w:lang w:val="en-US" w:eastAsia="zh-CN"/>
        </w:rPr>
        <w:t>1.86万元，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2.7</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1.3943万元，福利费0.8703万元，党组织活动经费0.08万元。</w:t>
      </w:r>
    </w:p>
    <w:p>
      <w:pPr>
        <w:ind w:firstLine="600" w:firstLineChars="200"/>
        <w:rPr>
          <w:rFonts w:ascii="仿宋" w:hAnsi="仿宋" w:eastAsia="仿宋" w:cs="宋体"/>
          <w:sz w:val="30"/>
          <w:szCs w:val="30"/>
          <w:lang w:val="zh-CN"/>
        </w:rPr>
      </w:pP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hint="default" w:ascii="宋体" w:eastAsia="宋体" w:cs="宋体"/>
          <w:sz w:val="30"/>
          <w:szCs w:val="30"/>
          <w:highlight w:val="none"/>
          <w:lang w:val="en-US" w:eastAsia="zh-CN"/>
        </w:rPr>
      </w:pPr>
      <w:r>
        <w:rPr>
          <w:rFonts w:hint="eastAsia" w:ascii="宋体" w:hAnsi="宋体" w:cs="宋体"/>
          <w:sz w:val="30"/>
          <w:szCs w:val="30"/>
        </w:rPr>
        <w:t>财政拨款“三公经费”预算</w:t>
      </w:r>
      <w:r>
        <w:rPr>
          <w:rFonts w:hint="eastAsia" w:ascii="宋体" w:hAnsi="宋体" w:cs="宋体"/>
          <w:sz w:val="30"/>
          <w:szCs w:val="30"/>
          <w:highlight w:val="none"/>
        </w:rPr>
        <w:t>数</w:t>
      </w:r>
      <w:r>
        <w:rPr>
          <w:rFonts w:hint="eastAsia" w:ascii="宋体" w:hAnsi="宋体" w:cs="宋体"/>
          <w:sz w:val="30"/>
          <w:szCs w:val="30"/>
          <w:highlight w:val="none"/>
          <w:lang w:val="en-US" w:eastAsia="zh-CN"/>
        </w:rPr>
        <w:t xml:space="preserve"> </w:t>
      </w:r>
      <w:r>
        <w:rPr>
          <w:rFonts w:hint="eastAsia" w:ascii="宋体" w:hAnsi="宋体" w:cs="宋体"/>
          <w:color w:val="auto"/>
          <w:sz w:val="30"/>
          <w:szCs w:val="30"/>
          <w:highlight w:val="none"/>
          <w:lang w:val="en-US" w:eastAsia="zh-CN"/>
        </w:rPr>
        <w:t>12.41</w:t>
      </w:r>
      <w:r>
        <w:rPr>
          <w:rFonts w:hint="eastAsia" w:ascii="宋体" w:hAnsi="宋体" w:cs="宋体"/>
          <w:color w:val="auto"/>
          <w:sz w:val="30"/>
          <w:szCs w:val="30"/>
          <w:highlight w:val="none"/>
        </w:rPr>
        <w:t>万元</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其中：因公出国经费0万元、公务用车购置经费0万元、公务用车运行经费7.2万元、公务接待费5.21万元</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与上年比较，减少10.49万元，主要为公务用车运行经费减少5.2万元、公务接待费减少5.29万元，减少原因是按照“三公”经费逐年递减政策要求，有所下降。</w:t>
      </w:r>
      <w:bookmarkStart w:id="0" w:name="_GoBack"/>
      <w:bookmarkEnd w:id="0"/>
    </w:p>
    <w:tbl>
      <w:tblPr>
        <w:tblStyle w:val="5"/>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176" w:type="dxa"/>
            <w:tcBorders>
              <w:top w:val="nil"/>
              <w:left w:val="nil"/>
              <w:bottom w:val="nil"/>
              <w:right w:val="nil"/>
            </w:tcBorders>
            <w:vAlign w:val="center"/>
          </w:tcPr>
          <w:p>
            <w:pPr>
              <w:widowControl/>
              <w:jc w:val="left"/>
              <w:rPr>
                <w:rFonts w:ascii="宋体" w:cs="宋体"/>
                <w:kern w:val="0"/>
                <w:sz w:val="24"/>
              </w:rPr>
            </w:pPr>
          </w:p>
        </w:tc>
        <w:tc>
          <w:tcPr>
            <w:tcW w:w="2298"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lang w:eastAsia="zh-CN"/>
              </w:rPr>
              <w:t>部门</w:t>
            </w:r>
            <w:r>
              <w:rPr>
                <w:rFonts w:hint="eastAsia" w:ascii="宋体" w:hAnsi="宋体" w:cs="宋体"/>
                <w:kern w:val="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2022年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12.4</w:t>
            </w:r>
          </w:p>
        </w:tc>
        <w:tc>
          <w:tcPr>
            <w:tcW w:w="171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7.2</w:t>
            </w:r>
          </w:p>
        </w:tc>
        <w:tc>
          <w:tcPr>
            <w:tcW w:w="117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5.2</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eastAsia="zh-CN"/>
              </w:rPr>
              <w:t>按照政策减少经费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10.5</w:t>
            </w:r>
          </w:p>
        </w:tc>
        <w:tc>
          <w:tcPr>
            <w:tcW w:w="171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5.21</w:t>
            </w:r>
          </w:p>
        </w:tc>
        <w:tc>
          <w:tcPr>
            <w:tcW w:w="117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5.29</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eastAsia="zh-CN"/>
              </w:rPr>
              <w:t>按照政策减少经费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22.9</w:t>
            </w:r>
          </w:p>
        </w:tc>
        <w:tc>
          <w:tcPr>
            <w:tcW w:w="171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12.41</w:t>
            </w:r>
          </w:p>
        </w:tc>
        <w:tc>
          <w:tcPr>
            <w:tcW w:w="1176"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10.49</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bl>
    <w:p>
      <w:pPr>
        <w:jc w:val="both"/>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3"/>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部门</w:t>
      </w:r>
      <w:r>
        <w:rPr>
          <w:rFonts w:hint="eastAsia" w:ascii="黑体" w:hAnsi="黑体" w:eastAsia="黑体"/>
          <w:sz w:val="32"/>
          <w:szCs w:val="32"/>
        </w:rPr>
        <w:t>整体绩效目标</w:t>
      </w:r>
    </w:p>
    <w:p>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总体绩效目标</w:t>
      </w:r>
    </w:p>
    <w:p>
      <w:pPr>
        <w:spacing w:line="500" w:lineRule="exact"/>
        <w:ind w:firstLine="640" w:firstLineChars="200"/>
        <w:jc w:val="left"/>
        <w:rPr>
          <w:rFonts w:ascii="Times New Roman" w:eastAsia="方正仿宋_GBK"/>
          <w:sz w:val="28"/>
        </w:rPr>
      </w:pPr>
      <w:r>
        <w:rPr>
          <w:rFonts w:ascii="仿宋_GB2312" w:hAnsi="Times New Roman" w:eastAsia="仿宋_GB2312"/>
          <w:sz w:val="32"/>
          <w:szCs w:val="32"/>
        </w:rPr>
        <w:t>以习近平新时代中国</w:t>
      </w:r>
      <w:r>
        <w:rPr>
          <w:rFonts w:ascii="仿宋_GB2312" w:hAnsi="Times New Roman" w:eastAsia="仿宋_GB2312" w:cs="Times New Roman"/>
          <w:sz w:val="32"/>
          <w:szCs w:val="32"/>
        </w:rPr>
        <w:t>特色</w:t>
      </w:r>
      <w:r>
        <w:rPr>
          <w:rFonts w:ascii="仿宋_GB2312" w:hAnsi="Times New Roman" w:eastAsia="仿宋_GB2312"/>
          <w:sz w:val="32"/>
          <w:szCs w:val="32"/>
        </w:rPr>
        <w:t>社会主义思想为指导，深入贯彻党的十九大和十九届二中、三中、四中、五中</w:t>
      </w:r>
      <w:r>
        <w:rPr>
          <w:rFonts w:hint="eastAsia" w:ascii="仿宋_GB2312" w:hAnsi="Times New Roman" w:eastAsia="仿宋_GB2312"/>
          <w:sz w:val="32"/>
          <w:szCs w:val="32"/>
          <w:lang w:eastAsia="zh-CN"/>
        </w:rPr>
        <w:t>、六中</w:t>
      </w:r>
      <w:r>
        <w:rPr>
          <w:rFonts w:ascii="仿宋_GB2312" w:hAnsi="Times New Roman" w:eastAsia="仿宋_GB2312"/>
          <w:sz w:val="32"/>
          <w:szCs w:val="32"/>
        </w:rPr>
        <w:t>全会精神，增强“四个意识”，坚定“四个自信”，做到“两个维护”，坚持稳中求进总基调，忠实履行党章和宪法赋予的职责，协助党委深化全面从严治党，坚持和完善党和国家监督体系，强化对权力运行的制约和监督，一体推进不敢腐、不能腐、不想腐，推动纪检监察工作高质量发展。</w:t>
      </w:r>
    </w:p>
    <w:p>
      <w:pPr>
        <w:pStyle w:val="2"/>
        <w:ind w:left="0" w:leftChars="0" w:firstLine="0" w:firstLineChars="0"/>
        <w:rPr>
          <w:rFonts w:hint="eastAsia"/>
        </w:rPr>
      </w:pPr>
    </w:p>
    <w:p>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分项绩效目标</w:t>
      </w:r>
    </w:p>
    <w:p>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color w:val="333335"/>
          <w:kern w:val="0"/>
          <w:sz w:val="32"/>
          <w:szCs w:val="32"/>
          <w:lang w:val="en-US" w:eastAsia="zh-CN"/>
        </w:rPr>
        <w:t>1.</w:t>
      </w:r>
      <w:r>
        <w:rPr>
          <w:rFonts w:hint="eastAsia" w:ascii="仿宋" w:hAnsi="仿宋" w:eastAsia="仿宋" w:cs="仿宋"/>
          <w:b w:val="0"/>
          <w:bCs/>
          <w:i w:val="0"/>
          <w:iCs w:val="0"/>
          <w:caps w:val="0"/>
          <w:color w:val="000000"/>
          <w:spacing w:val="0"/>
          <w:sz w:val="32"/>
          <w:szCs w:val="32"/>
          <w:shd w:val="clear" w:color="0A0000" w:fill="FFFFFF"/>
          <w:lang w:val="en-US" w:eastAsia="zh-CN"/>
        </w:rPr>
        <w:t>加强理论学习，提高政治站位。</w:t>
      </w:r>
      <w:r>
        <w:rPr>
          <w:rFonts w:hint="eastAsia" w:ascii="仿宋" w:hAnsi="仿宋" w:eastAsia="仿宋" w:cs="仿宋"/>
          <w:i w:val="0"/>
          <w:iCs w:val="0"/>
          <w:caps w:val="0"/>
          <w:color w:val="000000"/>
          <w:spacing w:val="0"/>
          <w:sz w:val="32"/>
          <w:szCs w:val="32"/>
          <w:shd w:val="clear" w:color="080000" w:fill="FFFFFF"/>
          <w:lang w:val="en-US" w:eastAsia="zh-CN"/>
        </w:rPr>
        <w:t>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会议精神，以强有力的政治监督保障我区“十四五”规划顺利实施。</w:t>
      </w:r>
    </w:p>
    <w:p>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2.强化监督检查，提高工作实效。</w:t>
      </w:r>
      <w:r>
        <w:rPr>
          <w:rFonts w:hint="eastAsia" w:ascii="仿宋" w:hAnsi="仿宋" w:eastAsia="仿宋" w:cs="仿宋"/>
          <w:i w:val="0"/>
          <w:iCs w:val="0"/>
          <w:caps w:val="0"/>
          <w:color w:val="000000"/>
          <w:spacing w:val="0"/>
          <w:sz w:val="32"/>
          <w:szCs w:val="32"/>
          <w:shd w:val="clear" w:color="080000" w:fill="FFFFFF"/>
          <w:lang w:val="en-US" w:eastAsia="zh-CN"/>
        </w:rPr>
        <w:t>把“两个维护”贯穿政治监督始终，加强对中央、省、市重大决策部署和党工委中心工作落实情况的监督检查，加强对各部门各部门履行职责情况的监督检查，做到上级决策部署到哪里，政治监督就要跟进到哪里。</w:t>
      </w:r>
    </w:p>
    <w:p>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3.狠抓重点领域，规范权力运行。</w:t>
      </w:r>
      <w:r>
        <w:rPr>
          <w:rFonts w:hint="eastAsia" w:ascii="仿宋" w:hAnsi="仿宋" w:eastAsia="仿宋" w:cs="仿宋"/>
          <w:i w:val="0"/>
          <w:iCs w:val="0"/>
          <w:caps w:val="0"/>
          <w:color w:val="000000"/>
          <w:spacing w:val="0"/>
          <w:sz w:val="32"/>
          <w:szCs w:val="32"/>
          <w:shd w:val="clear" w:color="080000" w:fill="FFFFFF"/>
          <w:lang w:val="en-US" w:eastAsia="zh-CN"/>
        </w:rPr>
        <w:t>按照上级要求把城市建设、贸易试点、财政资金使用、招投标等重点领域和关键环节列为风险防控和监督的重点，督促各部门各部门瞄准廉政风险点，加强内控制度建设，确保权力规范化运行。</w:t>
      </w:r>
    </w:p>
    <w:p>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4.坚持标本兼治，一体推进“三不”。</w:t>
      </w:r>
      <w:r>
        <w:rPr>
          <w:rFonts w:hint="eastAsia" w:ascii="仿宋" w:hAnsi="仿宋" w:eastAsia="仿宋" w:cs="仿宋"/>
          <w:i w:val="0"/>
          <w:iCs w:val="0"/>
          <w:caps w:val="0"/>
          <w:color w:val="000000"/>
          <w:spacing w:val="0"/>
          <w:sz w:val="32"/>
          <w:szCs w:val="32"/>
          <w:shd w:val="clear" w:color="080000" w:fill="FFFFFF"/>
          <w:lang w:val="en-US" w:eastAsia="zh-CN"/>
        </w:rPr>
        <w:t>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sz w:val="32"/>
          <w:szCs w:val="32"/>
          <w:lang w:val="en-US" w:eastAsia="zh-CN"/>
        </w:rPr>
        <w:t>5.</w:t>
      </w:r>
      <w:r>
        <w:rPr>
          <w:rFonts w:hint="eastAsia" w:ascii="仿宋" w:hAnsi="仿宋" w:eastAsia="仿宋" w:cs="仿宋"/>
          <w:b w:val="0"/>
          <w:bCs/>
          <w:i w:val="0"/>
          <w:iCs w:val="0"/>
          <w:caps w:val="0"/>
          <w:color w:val="000000"/>
          <w:spacing w:val="0"/>
          <w:sz w:val="32"/>
          <w:szCs w:val="32"/>
          <w:shd w:val="clear" w:color="0A0000" w:fill="FFFFFF"/>
          <w:lang w:val="en-US" w:eastAsia="zh-CN"/>
        </w:rPr>
        <w:t>坚决纠治“四风”，持续巩固落实。</w:t>
      </w:r>
      <w:r>
        <w:rPr>
          <w:rFonts w:hint="eastAsia" w:ascii="仿宋" w:hAnsi="仿宋" w:eastAsia="仿宋" w:cs="仿宋"/>
          <w:i w:val="0"/>
          <w:iCs w:val="0"/>
          <w:caps w:val="0"/>
          <w:color w:val="000000"/>
          <w:spacing w:val="0"/>
          <w:sz w:val="32"/>
          <w:szCs w:val="32"/>
          <w:shd w:val="clear" w:color="080000" w:fill="FFFFFF"/>
          <w:lang w:val="en-US" w:eastAsia="zh-CN"/>
        </w:rPr>
        <w:t>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6.加强自我监督约束，建设纪检监察铁军。</w:t>
      </w:r>
      <w:r>
        <w:rPr>
          <w:rFonts w:hint="eastAsia" w:ascii="仿宋" w:hAnsi="仿宋" w:eastAsia="仿宋" w:cs="仿宋"/>
          <w:i w:val="0"/>
          <w:iCs w:val="0"/>
          <w:caps w:val="0"/>
          <w:color w:val="000000"/>
          <w:spacing w:val="0"/>
          <w:sz w:val="32"/>
          <w:szCs w:val="32"/>
          <w:shd w:val="clear" w:color="080000" w:fill="FFFFFF"/>
          <w:lang w:val="en-US" w:eastAsia="zh-CN"/>
        </w:rPr>
        <w:t>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pPr>
        <w:pStyle w:val="2"/>
        <w:rPr>
          <w:rFonts w:hint="eastAsia"/>
          <w:lang w:val="en-US" w:eastAsia="zh-CN"/>
        </w:rPr>
      </w:pPr>
    </w:p>
    <w:p>
      <w:pPr>
        <w:widowControl w:val="0"/>
        <w:numPr>
          <w:ilvl w:val="0"/>
          <w:numId w:val="5"/>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工作保障措施</w:t>
      </w:r>
    </w:p>
    <w:p>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ascii="仿宋_GB2312" w:hAnsi="Times New Roman" w:eastAsia="仿宋_GB2312"/>
          <w:sz w:val="32"/>
          <w:szCs w:val="32"/>
        </w:rPr>
        <w:t>加强组织</w:t>
      </w:r>
      <w:r>
        <w:rPr>
          <w:rFonts w:hint="eastAsia" w:ascii="仿宋" w:hAnsi="仿宋" w:eastAsia="仿宋" w:cs="仿宋"/>
          <w:b w:val="0"/>
          <w:bCs w:val="0"/>
          <w:i w:val="0"/>
          <w:iCs w:val="0"/>
          <w:caps w:val="0"/>
          <w:color w:val="000000"/>
          <w:spacing w:val="0"/>
          <w:sz w:val="32"/>
          <w:szCs w:val="32"/>
          <w:shd w:val="clear" w:color="0A0000" w:fill="FFFFFF"/>
          <w:lang w:val="en-US" w:eastAsia="zh-CN"/>
        </w:rPr>
        <w:t>领导</w:t>
      </w:r>
      <w:r>
        <w:rPr>
          <w:rFonts w:ascii="仿宋_GB2312" w:hAnsi="Times New Roman" w:eastAsia="仿宋_GB2312"/>
          <w:sz w:val="32"/>
          <w:szCs w:val="32"/>
        </w:rPr>
        <w:t>。定期召开专题会议，调度工作进展，研究解决问题，确保各项工作有序推进。年初制定工作要点，明确责任</w:t>
      </w:r>
      <w:r>
        <w:rPr>
          <w:rFonts w:hint="eastAsia" w:ascii="仿宋_GB2312" w:hAnsi="Times New Roman" w:eastAsia="仿宋_GB2312"/>
          <w:sz w:val="32"/>
          <w:szCs w:val="32"/>
          <w:lang w:eastAsia="zh-CN"/>
        </w:rPr>
        <w:t>部门</w:t>
      </w:r>
      <w:r>
        <w:rPr>
          <w:rFonts w:ascii="仿宋_GB2312" w:hAnsi="Times New Roman" w:eastAsia="仿宋_GB2312"/>
          <w:sz w:val="32"/>
          <w:szCs w:val="32"/>
        </w:rPr>
        <w:t>、目标要求、完成时限，层层压实责任。</w:t>
      </w:r>
    </w:p>
    <w:p>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推动工作</w:t>
      </w:r>
      <w:r>
        <w:rPr>
          <w:rFonts w:ascii="仿宋_GB2312" w:hAnsi="Times New Roman" w:eastAsia="仿宋_GB2312" w:cs="Times New Roman"/>
          <w:sz w:val="32"/>
          <w:szCs w:val="32"/>
        </w:rPr>
        <w:t>规范化</w:t>
      </w:r>
      <w:r>
        <w:rPr>
          <w:rFonts w:ascii="仿宋_GB2312" w:hAnsi="Times New Roman" w:eastAsia="仿宋_GB2312"/>
          <w:sz w:val="32"/>
          <w:szCs w:val="32"/>
        </w:rPr>
        <w:t>、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筑牢安全办案底线。把依规依纪依法、安全文明廉洁办案作为一条铁的纪律，严格审查调查安全管理，公正文明执纪执法，不断提高纪检监察机关治理能力。</w:t>
      </w:r>
    </w:p>
    <w:p>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4.</w:t>
      </w:r>
      <w:r>
        <w:rPr>
          <w:rFonts w:ascii="仿宋_GB2312" w:hAnsi="Times New Roman" w:eastAsia="仿宋_GB2312"/>
          <w:sz w:val="32"/>
          <w:szCs w:val="32"/>
        </w:rPr>
        <w:t>加强自身建设。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pPr>
        <w:numPr>
          <w:ilvl w:val="0"/>
          <w:numId w:val="0"/>
        </w:numPr>
        <w:jc w:val="left"/>
        <w:outlineLvl w:val="1"/>
        <w:rPr>
          <w:rFonts w:hint="eastAsia" w:ascii="楷体" w:hAnsi="楷体" w:eastAsia="楷体"/>
          <w:sz w:val="32"/>
          <w:szCs w:val="32"/>
        </w:rPr>
      </w:pPr>
    </w:p>
    <w:p>
      <w:pPr>
        <w:rPr>
          <w:rFonts w:hint="eastAsia" w:ascii="方正小标宋_GBK" w:eastAsia="方正小标宋_GBK"/>
          <w:sz w:val="32"/>
          <w:szCs w:val="32"/>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pPr>
        <w:rPr>
          <w:rFonts w:ascii="Calibri" w:hAnsi="Calibri"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tabs>
          <w:tab w:val="left" w:pos="8922"/>
        </w:tabs>
        <w:jc w:val="left"/>
        <w:rPr>
          <w:rFonts w:hint="eastAsia"/>
          <w:lang w:val="en-US" w:eastAsia="zh-CN"/>
        </w:rPr>
      </w:pPr>
      <w:r>
        <w:rPr>
          <w:rFonts w:hint="eastAsia"/>
          <w:lang w:val="en-US" w:eastAsia="zh-CN"/>
        </w:rPr>
        <w:tab/>
      </w:r>
    </w:p>
    <w:p>
      <w:pPr>
        <w:pStyle w:val="2"/>
        <w:ind w:left="0" w:leftChars="0" w:firstLine="0" w:firstLineChars="0"/>
        <w:sectPr>
          <w:pgSz w:w="11906" w:h="16838"/>
          <w:pgMar w:top="1531" w:right="1134" w:bottom="1474" w:left="1134" w:header="851" w:footer="992" w:gutter="0"/>
          <w:cols w:space="720" w:num="1"/>
          <w:rtlGutter w:val="0"/>
          <w:docGrid w:type="lines" w:linePitch="312" w:charSpace="0"/>
        </w:sectPr>
      </w:pPr>
    </w:p>
    <w:tbl>
      <w:tblPr>
        <w:tblStyle w:val="5"/>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261"/>
        <w:gridCol w:w="1889"/>
        <w:gridCol w:w="3384"/>
        <w:gridCol w:w="538"/>
        <w:gridCol w:w="779"/>
        <w:gridCol w:w="3186"/>
        <w:gridCol w:w="1598"/>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年度目标（</w:t>
            </w:r>
            <w:r>
              <w:rPr>
                <w:rFonts w:ascii="Calibri" w:hAnsi="Calibri" w:eastAsia="宋体" w:cs="Calibri"/>
                <w:i w:val="0"/>
                <w:iCs w:val="0"/>
                <w:color w:val="000000"/>
                <w:kern w:val="0"/>
                <w:sz w:val="18"/>
                <w:szCs w:val="18"/>
                <w:u w:val="none"/>
                <w:lang w:val="en-US" w:eastAsia="zh-CN"/>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项目编码及名称</w:t>
            </w:r>
          </w:p>
        </w:tc>
        <w:tc>
          <w:tcPr>
            <w:tcW w:w="65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[130605223F507QRCC380M]</w:t>
            </w:r>
            <w:r>
              <w:rPr>
                <w:rFonts w:hint="eastAsia" w:ascii="宋体" w:hAnsi="宋体" w:eastAsia="宋体" w:cs="宋体"/>
                <w:i w:val="0"/>
                <w:iCs w:val="0"/>
                <w:color w:val="000000"/>
                <w:kern w:val="0"/>
                <w:sz w:val="18"/>
                <w:szCs w:val="18"/>
                <w:u w:val="none"/>
                <w:lang w:val="en-US" w:eastAsia="zh-CN"/>
              </w:rPr>
              <w:t>人员经费</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主管部门</w:t>
            </w:r>
          </w:p>
        </w:tc>
        <w:tc>
          <w:tcPr>
            <w:tcW w:w="63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[222]</w:t>
            </w:r>
            <w:r>
              <w:rPr>
                <w:rFonts w:hint="eastAsia" w:ascii="宋体" w:hAnsi="宋体" w:eastAsia="宋体" w:cs="宋体"/>
                <w:i w:val="0"/>
                <w:iCs w:val="0"/>
                <w:color w:val="000000"/>
                <w:kern w:val="0"/>
                <w:sz w:val="18"/>
                <w:szCs w:val="18"/>
                <w:u w:val="none"/>
                <w:lang w:val="en-US" w:eastAsia="zh-CN"/>
              </w:rPr>
              <w:t>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w:t>
            </w:r>
            <w:r>
              <w:rPr>
                <w:rFonts w:hint="eastAsia" w:ascii="宋体" w:hAnsi="宋体" w:cs="宋体"/>
                <w:b/>
                <w:bCs/>
                <w:i w:val="0"/>
                <w:iCs w:val="0"/>
                <w:color w:val="000000"/>
                <w:kern w:val="0"/>
                <w:sz w:val="18"/>
                <w:szCs w:val="18"/>
                <w:u w:val="none"/>
                <w:lang w:val="en-US" w:eastAsia="zh-CN"/>
              </w:rPr>
              <w:t>部门</w:t>
            </w:r>
          </w:p>
        </w:tc>
        <w:tc>
          <w:tcPr>
            <w:tcW w:w="65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[222001]</w:t>
            </w:r>
            <w:r>
              <w:rPr>
                <w:rFonts w:hint="eastAsia" w:ascii="宋体" w:hAnsi="宋体" w:eastAsia="宋体" w:cs="宋体"/>
                <w:i w:val="0"/>
                <w:iCs w:val="0"/>
                <w:color w:val="000000"/>
                <w:kern w:val="0"/>
                <w:sz w:val="18"/>
                <w:szCs w:val="18"/>
                <w:u w:val="none"/>
                <w:lang w:val="en-US" w:eastAsia="zh-CN"/>
              </w:rPr>
              <w:t>中国共产党保定白沟新城纪律检查工作委员会（本级）</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年度资金总额</w:t>
            </w:r>
          </w:p>
        </w:tc>
        <w:tc>
          <w:tcPr>
            <w:tcW w:w="63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资金用途</w:t>
            </w:r>
          </w:p>
        </w:tc>
        <w:tc>
          <w:tcPr>
            <w:tcW w:w="14167"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资金支出计划</w:t>
            </w:r>
          </w:p>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（累计支出比例）</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3</w:t>
            </w:r>
            <w:r>
              <w:rPr>
                <w:rFonts w:hint="eastAsia" w:ascii="宋体" w:hAnsi="宋体" w:eastAsia="宋体" w:cs="宋体"/>
                <w:b/>
                <w:bCs/>
                <w:i w:val="0"/>
                <w:iCs w:val="0"/>
                <w:color w:val="000000"/>
                <w:kern w:val="0"/>
                <w:sz w:val="18"/>
                <w:szCs w:val="18"/>
                <w:u w:val="none"/>
                <w:lang w:val="en-US" w:eastAsia="zh-CN"/>
              </w:rPr>
              <w:t>月底</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6</w:t>
            </w:r>
            <w:r>
              <w:rPr>
                <w:rFonts w:hint="eastAsia" w:ascii="宋体" w:hAnsi="宋体" w:eastAsia="宋体" w:cs="宋体"/>
                <w:b/>
                <w:bCs/>
                <w:i w:val="0"/>
                <w:iCs w:val="0"/>
                <w:color w:val="000000"/>
                <w:kern w:val="0"/>
                <w:sz w:val="18"/>
                <w:szCs w:val="18"/>
                <w:u w:val="none"/>
                <w:lang w:val="en-US" w:eastAsia="zh-CN"/>
              </w:rPr>
              <w:t>月底</w:t>
            </w:r>
          </w:p>
        </w:tc>
        <w:tc>
          <w:tcPr>
            <w:tcW w:w="45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10</w:t>
            </w:r>
            <w:r>
              <w:rPr>
                <w:rFonts w:hint="eastAsia" w:ascii="宋体" w:hAnsi="宋体" w:eastAsia="宋体" w:cs="宋体"/>
                <w:b/>
                <w:bCs/>
                <w:i w:val="0"/>
                <w:iCs w:val="0"/>
                <w:color w:val="000000"/>
                <w:kern w:val="0"/>
                <w:sz w:val="18"/>
                <w:szCs w:val="18"/>
                <w:u w:val="none"/>
                <w:lang w:val="en-US" w:eastAsia="zh-CN"/>
              </w:rPr>
              <w:t>月底</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12</w:t>
            </w:r>
            <w:r>
              <w:rPr>
                <w:rFonts w:hint="eastAsia" w:ascii="宋体" w:hAnsi="宋体" w:eastAsia="宋体" w:cs="宋体"/>
                <w:b/>
                <w:bCs/>
                <w:i w:val="0"/>
                <w:iCs w:val="0"/>
                <w:color w:val="000000"/>
                <w:kern w:val="0"/>
                <w:sz w:val="18"/>
                <w:szCs w:val="18"/>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25%</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50%</w:t>
            </w:r>
          </w:p>
        </w:tc>
        <w:tc>
          <w:tcPr>
            <w:tcW w:w="45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75%</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年度绩效目标</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1290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提高纪检监察机关的办案能力，加大防腐败力度。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w:t>
            </w:r>
            <w:r>
              <w:rPr>
                <w:rFonts w:hint="default" w:ascii="Calibri" w:hAnsi="Calibri" w:eastAsia="宋体" w:cs="Calibri"/>
                <w:i w:val="0"/>
                <w:iCs w:val="0"/>
                <w:color w:val="000000"/>
                <w:kern w:val="0"/>
                <w:sz w:val="18"/>
                <w:szCs w:val="18"/>
                <w:u w:val="none"/>
                <w:lang w:val="en-US" w:eastAsia="zh-CN"/>
              </w:rPr>
              <w:t>2</w:t>
            </w:r>
          </w:p>
        </w:tc>
        <w:tc>
          <w:tcPr>
            <w:tcW w:w="1290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提高纪检监察队伍建设。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一级指标</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二级指标</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三级指标</w:t>
            </w:r>
          </w:p>
        </w:tc>
        <w:tc>
          <w:tcPr>
            <w:tcW w:w="3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绩效指标描述（指标内容）</w:t>
            </w:r>
          </w:p>
        </w:tc>
        <w:tc>
          <w:tcPr>
            <w:tcW w:w="45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指标值</w:t>
            </w:r>
          </w:p>
        </w:tc>
        <w:tc>
          <w:tcPr>
            <w:tcW w:w="1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指标确定依据</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符号</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值</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rPr>
              <w:t>部门</w:t>
            </w:r>
            <w:r>
              <w:rPr>
                <w:rFonts w:hint="eastAsia" w:ascii="宋体" w:hAnsi="宋体" w:eastAsia="宋体" w:cs="宋体"/>
                <w:b/>
                <w:bCs/>
                <w:i w:val="0"/>
                <w:iCs w:val="0"/>
                <w:color w:val="000000"/>
                <w:kern w:val="0"/>
                <w:sz w:val="18"/>
                <w:szCs w:val="18"/>
                <w:u w:val="none"/>
                <w:lang w:val="en-US" w:eastAsia="zh-CN"/>
              </w:rPr>
              <w:t>（文字描述）</w:t>
            </w:r>
          </w:p>
        </w:tc>
        <w:tc>
          <w:tcPr>
            <w:tcW w:w="1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产出指标</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保障人数</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保障人数</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人数</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保障人数</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工资福利等发放精准性</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工资福利等发放精准性</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发放全部工资</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工资福利等发放精准性</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工资福利等发放及时性</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工资福利等发放人员范围的精准性和发放数据的准确性</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按规定及时发放工资缴纳保险</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按规定及时发放工资及保险</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8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工资福利等发放标准</w:t>
            </w:r>
          </w:p>
        </w:tc>
        <w:tc>
          <w:tcPr>
            <w:tcW w:w="33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工资福利等发放标准</w:t>
            </w: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按规定时间发放</w:t>
            </w:r>
          </w:p>
        </w:tc>
        <w:tc>
          <w:tcPr>
            <w:tcW w:w="159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按规定时间发放</w:t>
            </w:r>
          </w:p>
        </w:tc>
        <w:tc>
          <w:tcPr>
            <w:tcW w:w="153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效益指标</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保持干部队伍稳定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保持干部队伍稳定</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通过按时发放工资等，进一步增强干部职工得归属感</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保持干部队伍相对稳定</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生态效应</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生态效应</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生态效应</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18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各项工作按时完成率</w:t>
            </w:r>
          </w:p>
        </w:tc>
        <w:tc>
          <w:tcPr>
            <w:tcW w:w="33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各项工作按时完成率</w:t>
            </w: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w:t>
            </w:r>
          </w:p>
        </w:tc>
        <w:tc>
          <w:tcPr>
            <w:tcW w:w="159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w:t>
            </w:r>
          </w:p>
        </w:tc>
        <w:tc>
          <w:tcPr>
            <w:tcW w:w="153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满意度指标</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部门</w:t>
            </w:r>
            <w:r>
              <w:rPr>
                <w:rFonts w:hint="eastAsia" w:ascii="宋体" w:hAnsi="宋体" w:eastAsia="宋体" w:cs="宋体"/>
                <w:i w:val="0"/>
                <w:iCs w:val="0"/>
                <w:color w:val="000000"/>
                <w:kern w:val="0"/>
                <w:sz w:val="18"/>
                <w:szCs w:val="18"/>
                <w:u w:val="none"/>
                <w:lang w:val="en-US" w:eastAsia="zh-CN"/>
              </w:rPr>
              <w:t>人员满意度</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部门</w:t>
            </w:r>
            <w:r>
              <w:rPr>
                <w:rFonts w:hint="eastAsia" w:ascii="宋体" w:hAnsi="宋体" w:eastAsia="宋体" w:cs="宋体"/>
                <w:i w:val="0"/>
                <w:iCs w:val="0"/>
                <w:color w:val="000000"/>
                <w:kern w:val="0"/>
                <w:sz w:val="18"/>
                <w:szCs w:val="18"/>
                <w:u w:val="none"/>
                <w:lang w:val="en-US" w:eastAsia="zh-CN"/>
              </w:rPr>
              <w:t>人员对工资福利发放工作的满意程度</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bl>
    <w:p>
      <w:pPr>
        <w:pStyle w:val="2"/>
        <w:ind w:left="0" w:leftChars="0" w:firstLine="0" w:firstLineChars="0"/>
        <w:rPr>
          <w:rFonts w:hint="eastAsia"/>
          <w:sz w:val="16"/>
          <w:szCs w:val="16"/>
          <w:lang w:val="en-US" w:eastAsia="zh-CN"/>
        </w:rPr>
      </w:pPr>
    </w:p>
    <w:tbl>
      <w:tblPr>
        <w:tblStyle w:val="5"/>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9"/>
        <w:gridCol w:w="1817"/>
        <w:gridCol w:w="2184"/>
        <w:gridCol w:w="2854"/>
        <w:gridCol w:w="613"/>
        <w:gridCol w:w="717"/>
        <w:gridCol w:w="1667"/>
        <w:gridCol w:w="1767"/>
        <w:gridCol w:w="391"/>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15613"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[130605227I0QK8FBO28DD]日常公用经费</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29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29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484"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299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6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4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299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6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667"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做好经费保障工作，保障办公正常运转。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8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8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299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人数</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运转保障率</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各项日常工作保障率</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保障率</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各项日常工作保障运转率</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经费保障及时性</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及时保障各项日常办公需要</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日常工作经费开支标准</w:t>
            </w:r>
          </w:p>
        </w:tc>
        <w:tc>
          <w:tcPr>
            <w:tcW w:w="285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办公费、水电费、交通费、会议费</w:t>
            </w:r>
          </w:p>
        </w:tc>
        <w:tc>
          <w:tcPr>
            <w:tcW w:w="61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按统一规定执行</w:t>
            </w:r>
          </w:p>
        </w:tc>
        <w:tc>
          <w:tcPr>
            <w:tcW w:w="17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日常公用经费开支标准</w:t>
            </w:r>
          </w:p>
        </w:tc>
        <w:tc>
          <w:tcPr>
            <w:tcW w:w="1865"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保障办公需要，维持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保障办公需要，维持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285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61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17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1865"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15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bl>
    <w:p>
      <w:pPr>
        <w:pStyle w:val="2"/>
        <w:ind w:left="0" w:leftChars="0" w:firstLine="0" w:firstLineChars="0"/>
        <w:rPr>
          <w:rFonts w:hint="eastAsia"/>
          <w:sz w:val="16"/>
          <w:szCs w:val="16"/>
          <w:lang w:val="en-US" w:eastAsia="zh-CN"/>
        </w:rPr>
      </w:pPr>
    </w:p>
    <w:p>
      <w:pPr>
        <w:pStyle w:val="2"/>
        <w:rPr>
          <w:rFonts w:hint="eastAsia"/>
          <w:sz w:val="16"/>
          <w:szCs w:val="16"/>
          <w:lang w:val="en-US" w:eastAsia="zh-CN"/>
        </w:rPr>
      </w:pPr>
    </w:p>
    <w:p>
      <w:pPr>
        <w:pStyle w:val="2"/>
        <w:ind w:left="0" w:leftChars="0" w:firstLine="0" w:firstLineChars="0"/>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513"/>
        <w:gridCol w:w="1864"/>
        <w:gridCol w:w="4119"/>
        <w:gridCol w:w="774"/>
        <w:gridCol w:w="506"/>
        <w:gridCol w:w="2030"/>
        <w:gridCol w:w="1864"/>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年度目标（</w:t>
            </w:r>
            <w:r>
              <w:rPr>
                <w:rFonts w:ascii="Calibri" w:hAnsi="Calibri" w:eastAsia="宋体" w:cs="Calibri"/>
                <w:i w:val="0"/>
                <w:iCs w:val="0"/>
                <w:color w:val="000000"/>
                <w:kern w:val="0"/>
                <w:sz w:val="22"/>
                <w:szCs w:val="22"/>
                <w:u w:val="none"/>
                <w:lang w:val="en-US" w:eastAsia="zh-CN"/>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项目编码及名称</w:t>
            </w:r>
          </w:p>
        </w:tc>
        <w:tc>
          <w:tcPr>
            <w:tcW w:w="74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[13060522P00358810001J]2022</w:t>
            </w:r>
            <w:r>
              <w:rPr>
                <w:rFonts w:hint="eastAsia" w:ascii="宋体" w:hAnsi="宋体" w:eastAsia="宋体" w:cs="宋体"/>
                <w:i w:val="0"/>
                <w:iCs w:val="0"/>
                <w:color w:val="000000"/>
                <w:kern w:val="0"/>
                <w:sz w:val="22"/>
                <w:szCs w:val="22"/>
                <w:u w:val="none"/>
                <w:lang w:val="en-US" w:eastAsia="zh-CN"/>
              </w:rPr>
              <w:t>年纪检监察电视台调入经费（朱凯）</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主管部门</w:t>
            </w:r>
          </w:p>
        </w:tc>
        <w:tc>
          <w:tcPr>
            <w:tcW w:w="527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w:t>
            </w:r>
            <w:r>
              <w:rPr>
                <w:rFonts w:hint="eastAsia" w:ascii="宋体" w:hAnsi="宋体" w:eastAsia="宋体" w:cs="宋体"/>
                <w:i w:val="0"/>
                <w:iCs w:val="0"/>
                <w:color w:val="000000"/>
                <w:kern w:val="0"/>
                <w:sz w:val="22"/>
                <w:szCs w:val="22"/>
                <w:u w:val="none"/>
                <w:lang w:val="en-US" w:eastAsia="zh-CN"/>
              </w:rPr>
              <w:t>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w:t>
            </w:r>
            <w:r>
              <w:rPr>
                <w:rFonts w:hint="eastAsia" w:ascii="宋体" w:hAnsi="宋体" w:cs="宋体"/>
                <w:b/>
                <w:bCs/>
                <w:i w:val="0"/>
                <w:iCs w:val="0"/>
                <w:color w:val="000000"/>
                <w:kern w:val="0"/>
                <w:sz w:val="22"/>
                <w:szCs w:val="22"/>
                <w:u w:val="none"/>
                <w:lang w:val="en-US" w:eastAsia="zh-CN"/>
              </w:rPr>
              <w:t>部门</w:t>
            </w:r>
          </w:p>
        </w:tc>
        <w:tc>
          <w:tcPr>
            <w:tcW w:w="74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w:t>
            </w:r>
            <w:r>
              <w:rPr>
                <w:rFonts w:hint="eastAsia" w:ascii="宋体" w:hAnsi="宋体" w:eastAsia="宋体" w:cs="宋体"/>
                <w:i w:val="0"/>
                <w:iCs w:val="0"/>
                <w:color w:val="000000"/>
                <w:kern w:val="0"/>
                <w:sz w:val="22"/>
                <w:szCs w:val="22"/>
                <w:u w:val="none"/>
                <w:lang w:val="en-US" w:eastAsia="zh-CN"/>
              </w:rPr>
              <w:t>中国共产党保定白沟新城纪律检查工作委员会（本级）</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年度资金总额</w:t>
            </w:r>
          </w:p>
        </w:tc>
        <w:tc>
          <w:tcPr>
            <w:tcW w:w="527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资金用途</w:t>
            </w:r>
          </w:p>
        </w:tc>
        <w:tc>
          <w:tcPr>
            <w:tcW w:w="14054"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w:t>
            </w:r>
            <w:r>
              <w:rPr>
                <w:rFonts w:hint="eastAsia" w:ascii="宋体" w:hAnsi="宋体" w:eastAsia="宋体" w:cs="宋体"/>
                <w:i w:val="0"/>
                <w:iCs w:val="0"/>
                <w:color w:val="000000"/>
                <w:kern w:val="0"/>
                <w:sz w:val="22"/>
                <w:szCs w:val="22"/>
                <w:u w:val="none"/>
                <w:lang w:val="en-US" w:eastAsia="zh-CN"/>
              </w:rPr>
              <w:t>年电视台调入人员朱凯工资及保险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资金支出计划</w:t>
            </w:r>
          </w:p>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（累计支出比例）</w:t>
            </w:r>
          </w:p>
        </w:tc>
        <w:tc>
          <w:tcPr>
            <w:tcW w:w="33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w:t>
            </w:r>
            <w:r>
              <w:rPr>
                <w:rFonts w:hint="eastAsia" w:ascii="宋体" w:hAnsi="宋体" w:eastAsia="宋体" w:cs="宋体"/>
                <w:b/>
                <w:bCs/>
                <w:i w:val="0"/>
                <w:iCs w:val="0"/>
                <w:color w:val="000000"/>
                <w:kern w:val="0"/>
                <w:sz w:val="22"/>
                <w:szCs w:val="22"/>
                <w:u w:val="none"/>
                <w:lang w:val="en-US" w:eastAsia="zh-CN"/>
              </w:rPr>
              <w:t>月底</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w:t>
            </w:r>
            <w:r>
              <w:rPr>
                <w:rFonts w:hint="eastAsia" w:ascii="宋体" w:hAnsi="宋体" w:eastAsia="宋体" w:cs="宋体"/>
                <w:b/>
                <w:bCs/>
                <w:i w:val="0"/>
                <w:iCs w:val="0"/>
                <w:color w:val="000000"/>
                <w:kern w:val="0"/>
                <w:sz w:val="22"/>
                <w:szCs w:val="22"/>
                <w:u w:val="none"/>
                <w:lang w:val="en-US" w:eastAsia="zh-CN"/>
              </w:rPr>
              <w:t>月底</w:t>
            </w:r>
          </w:p>
        </w:tc>
        <w:tc>
          <w:tcPr>
            <w:tcW w:w="3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w:t>
            </w:r>
            <w:r>
              <w:rPr>
                <w:rFonts w:hint="eastAsia" w:ascii="宋体" w:hAnsi="宋体" w:eastAsia="宋体" w:cs="宋体"/>
                <w:b/>
                <w:bCs/>
                <w:i w:val="0"/>
                <w:iCs w:val="0"/>
                <w:color w:val="000000"/>
                <w:kern w:val="0"/>
                <w:sz w:val="22"/>
                <w:szCs w:val="22"/>
                <w:u w:val="none"/>
                <w:lang w:val="en-US" w:eastAsia="zh-CN"/>
              </w:rPr>
              <w:t>月底</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w:t>
            </w:r>
            <w:r>
              <w:rPr>
                <w:rFonts w:hint="eastAsia" w:ascii="宋体" w:hAnsi="宋体" w:eastAsia="宋体" w:cs="宋体"/>
                <w:b/>
                <w:bCs/>
                <w:i w:val="0"/>
                <w:iCs w:val="0"/>
                <w:color w:val="000000"/>
                <w:kern w:val="0"/>
                <w:sz w:val="22"/>
                <w:szCs w:val="22"/>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33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年度绩效目标</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541"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为纪检工作顺利开展提供有利保障。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w:t>
            </w:r>
            <w:r>
              <w:rPr>
                <w:rFonts w:hint="default" w:ascii="Calibri" w:hAnsi="Calibri" w:eastAsia="宋体" w:cs="Calibri"/>
                <w:i w:val="0"/>
                <w:iCs w:val="0"/>
                <w:color w:val="000000"/>
                <w:kern w:val="0"/>
                <w:sz w:val="22"/>
                <w:szCs w:val="22"/>
                <w:u w:val="none"/>
                <w:lang w:val="en-US" w:eastAsia="zh-CN"/>
              </w:rPr>
              <w:t>2</w:t>
            </w:r>
          </w:p>
        </w:tc>
        <w:tc>
          <w:tcPr>
            <w:tcW w:w="12541"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提高办案力量和水平。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一级指标</w:t>
            </w:r>
          </w:p>
        </w:tc>
        <w:tc>
          <w:tcPr>
            <w:tcW w:w="15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二级指标</w:t>
            </w:r>
          </w:p>
        </w:tc>
        <w:tc>
          <w:tcPr>
            <w:tcW w:w="1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三级指标</w:t>
            </w:r>
          </w:p>
        </w:tc>
        <w:tc>
          <w:tcPr>
            <w:tcW w:w="41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绩效指标描述（指标内容）</w:t>
            </w:r>
          </w:p>
        </w:tc>
        <w:tc>
          <w:tcPr>
            <w:tcW w:w="3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指标值</w:t>
            </w:r>
          </w:p>
        </w:tc>
        <w:tc>
          <w:tcPr>
            <w:tcW w:w="1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指标确定依据</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41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符号</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值</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rPr>
              <w:t>部门</w:t>
            </w:r>
            <w:r>
              <w:rPr>
                <w:rFonts w:hint="eastAsia" w:ascii="宋体" w:hAnsi="宋体" w:eastAsia="宋体" w:cs="宋体"/>
                <w:b/>
                <w:bCs/>
                <w:i w:val="0"/>
                <w:iCs w:val="0"/>
                <w:color w:val="000000"/>
                <w:kern w:val="0"/>
                <w:sz w:val="22"/>
                <w:szCs w:val="22"/>
                <w:u w:val="none"/>
                <w:lang w:val="en-US" w:eastAsia="zh-CN"/>
              </w:rPr>
              <w:t>（文字描述）</w:t>
            </w:r>
          </w:p>
        </w:tc>
        <w:tc>
          <w:tcPr>
            <w:tcW w:w="1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产出指标</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数量指标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保障人员</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保障人员</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人数</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保障人数</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质量指标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工资福利等发放精准性</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工资福利等发放人员范围的精准性和发放数据的准确性</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完成全部工作</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工资福利等发放标准</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时效指标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工资及福利发放及时性</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工资及福利发放及时性</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按规定时间发放</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按规定时间发放</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成本指标</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工资福利等发放标准</w:t>
            </w:r>
          </w:p>
        </w:tc>
        <w:tc>
          <w:tcPr>
            <w:tcW w:w="411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工资福利等发放标准</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按规定执行</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按规定执行</w:t>
            </w:r>
          </w:p>
        </w:tc>
        <w:tc>
          <w:tcPr>
            <w:tcW w:w="13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效益指标</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经济效益指标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提高效率</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提高效率</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提高工作人员的工作效率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提高效率</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社会效益指标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保障干部队伍稳定</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保障干部队伍稳定</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保持干部队伍相对稳定</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保持干部队伍相对稳定</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可持续影响指标</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411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13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满意度指标</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服务对象满意度指标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4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18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bl>
    <w:p>
      <w:pPr>
        <w:pStyle w:val="2"/>
        <w:ind w:left="0" w:leftChars="0" w:firstLine="0" w:firstLineChars="0"/>
        <w:rPr>
          <w:rFonts w:hint="eastAsia"/>
          <w:sz w:val="16"/>
          <w:szCs w:val="16"/>
          <w:lang w:val="en-US" w:eastAsia="zh-CN"/>
        </w:rPr>
      </w:pPr>
    </w:p>
    <w:p>
      <w:pPr>
        <w:pStyle w:val="2"/>
        <w:rPr>
          <w:rFonts w:hint="eastAsia"/>
          <w:sz w:val="16"/>
          <w:szCs w:val="16"/>
          <w:lang w:val="en-US" w:eastAsia="zh-CN"/>
        </w:rPr>
      </w:pPr>
    </w:p>
    <w:p>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2"/>
        <w:gridCol w:w="1630"/>
        <w:gridCol w:w="2858"/>
        <w:gridCol w:w="1782"/>
        <w:gridCol w:w="565"/>
        <w:gridCol w:w="578"/>
        <w:gridCol w:w="2485"/>
        <w:gridCol w:w="2314"/>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[13060522P003624100018]2022年纪检廉政短信提醒资金</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401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2022年白沟新城33个村街，机关干部，发送廉政短信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6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4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6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4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38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拓展落实中央八项规定精神成果，不断把作风建设引向深入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6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6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3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3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发送廉政短信数量</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发送廉政短信数量</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125000</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条</w:t>
            </w: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合同</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按实际发放条数为准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按实际发放内容为准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发送短信及时性</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发送短信及时性</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及时发放短信</w:t>
            </w: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按规定时限发放短信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按及时发放为准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85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廉政短信费用</w:t>
            </w:r>
          </w:p>
        </w:tc>
        <w:tc>
          <w:tcPr>
            <w:tcW w:w="178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廉政短信费用</w:t>
            </w:r>
          </w:p>
        </w:tc>
        <w:tc>
          <w:tcPr>
            <w:tcW w:w="56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248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万元</w:t>
            </w:r>
          </w:p>
        </w:tc>
        <w:tc>
          <w:tcPr>
            <w:tcW w:w="23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短信费用</w:t>
            </w:r>
          </w:p>
        </w:tc>
        <w:tc>
          <w:tcPr>
            <w:tcW w:w="18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85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178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56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23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18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bl>
    <w:p>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2067"/>
        <w:gridCol w:w="2161"/>
        <w:gridCol w:w="2823"/>
        <w:gridCol w:w="909"/>
        <w:gridCol w:w="612"/>
        <w:gridCol w:w="1955"/>
        <w:gridCol w:w="1518"/>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705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[13060522P00362310001J]2022年纪检监察廉政文化建设资金</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2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705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2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2022年廉政文化建设资金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2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2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42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71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提高党员廉洁奉公意识和据腐防变能力。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0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5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5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廉政文化宣传影响力</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廉政文化宣传影响力</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影响力</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廉政文化建设质量</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廉政文化建设质量</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质量标准</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各项工作完成时效</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各项工作完成时效</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各项工作完成时效</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资金成本</w:t>
            </w:r>
          </w:p>
        </w:tc>
        <w:tc>
          <w:tcPr>
            <w:tcW w:w="282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资金成本</w:t>
            </w:r>
          </w:p>
        </w:tc>
        <w:tc>
          <w:tcPr>
            <w:tcW w:w="90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资金成本</w:t>
            </w:r>
          </w:p>
        </w:tc>
        <w:tc>
          <w:tcPr>
            <w:tcW w:w="151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提高效益</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提高效益</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提高效益</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生态效应</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廉政文化影响力</w:t>
            </w:r>
          </w:p>
        </w:tc>
        <w:tc>
          <w:tcPr>
            <w:tcW w:w="282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廉政文化影响力</w:t>
            </w:r>
          </w:p>
        </w:tc>
        <w:tc>
          <w:tcPr>
            <w:tcW w:w="90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廉政文化影响力</w:t>
            </w:r>
          </w:p>
        </w:tc>
        <w:tc>
          <w:tcPr>
            <w:tcW w:w="151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bl>
    <w:p>
      <w:pPr>
        <w:pStyle w:val="2"/>
        <w:ind w:left="0" w:leftChars="0" w:firstLine="0" w:firstLineChars="0"/>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7"/>
        <w:gridCol w:w="2163"/>
        <w:gridCol w:w="1947"/>
        <w:gridCol w:w="2823"/>
        <w:gridCol w:w="911"/>
        <w:gridCol w:w="612"/>
        <w:gridCol w:w="2163"/>
        <w:gridCol w:w="1520"/>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93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[13060522P00362510001X]2022年纪检监察办案区域修缮及维护资金</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4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93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4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877"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纪检办案区域的修缮和维护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2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4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71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提高办案条件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1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9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5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谈话室数量</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谈话室数量</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谈话室数量</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谈话室修缮质量</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谈话室修缮质量</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办案区域修缮质量</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按时完成修缮</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按时完成修缮</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按规定实现完成修缮</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94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修缮费</w:t>
            </w:r>
          </w:p>
        </w:tc>
        <w:tc>
          <w:tcPr>
            <w:tcW w:w="282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修缮成本</w:t>
            </w:r>
          </w:p>
        </w:tc>
        <w:tc>
          <w:tcPr>
            <w:tcW w:w="91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修缮成本</w:t>
            </w:r>
          </w:p>
        </w:tc>
        <w:tc>
          <w:tcPr>
            <w:tcW w:w="15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受理信访人满意度</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受理信访人满意度</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受理信访人满意度</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94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效果满意率</w:t>
            </w:r>
          </w:p>
        </w:tc>
        <w:tc>
          <w:tcPr>
            <w:tcW w:w="282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效果满意率</w:t>
            </w:r>
          </w:p>
        </w:tc>
        <w:tc>
          <w:tcPr>
            <w:tcW w:w="91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效果满意率</w:t>
            </w:r>
          </w:p>
        </w:tc>
        <w:tc>
          <w:tcPr>
            <w:tcW w:w="15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bl>
    <w:p>
      <w:pPr>
        <w:pStyle w:val="2"/>
        <w:ind w:left="0" w:leftChars="0" w:firstLine="0" w:firstLineChars="0"/>
        <w:rPr>
          <w:rFonts w:hint="eastAsia"/>
          <w:sz w:val="16"/>
          <w:szCs w:val="16"/>
          <w:lang w:val="en-US" w:eastAsia="zh-CN"/>
        </w:rPr>
      </w:pPr>
      <w:r>
        <w:rPr>
          <w:rFonts w:hint="eastAsia"/>
          <w:sz w:val="16"/>
          <w:szCs w:val="16"/>
          <w:lang w:val="en-US" w:eastAsia="zh-CN"/>
        </w:rPr>
        <w:t xml:space="preserve"> </w:t>
      </w: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5"/>
        <w:gridCol w:w="1725"/>
        <w:gridCol w:w="2189"/>
        <w:gridCol w:w="2598"/>
        <w:gridCol w:w="849"/>
        <w:gridCol w:w="578"/>
        <w:gridCol w:w="1841"/>
        <w:gridCol w:w="2130"/>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[13060522P003627100019]2022年纪检监察系统内网和视频会议室建设资金</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8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8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739"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2022年纪检监察系统内网和视屏会议室建设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3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01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提高纪检监察办案能力和水平。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个数</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视频会议室建设质量</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视频会议室建设质量</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视频会议室建设质量</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建设视频会议室及时性</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建设视频会议室及时性</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建设视频会议室及时性</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视频会议室成本</w:t>
            </w:r>
          </w:p>
        </w:tc>
        <w:tc>
          <w:tcPr>
            <w:tcW w:w="259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视频会议室成本</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视频会议室成本</w:t>
            </w:r>
          </w:p>
        </w:tc>
        <w:tc>
          <w:tcPr>
            <w:tcW w:w="21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成本测算标准</w:t>
            </w:r>
          </w:p>
        </w:tc>
        <w:tc>
          <w:tcPr>
            <w:tcW w:w="182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w:t>
            </w:r>
          </w:p>
        </w:tc>
        <w:tc>
          <w:tcPr>
            <w:tcW w:w="259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w:t>
            </w:r>
          </w:p>
        </w:tc>
        <w:tc>
          <w:tcPr>
            <w:tcW w:w="21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机关干部工作热情率</w:t>
            </w:r>
          </w:p>
        </w:tc>
        <w:tc>
          <w:tcPr>
            <w:tcW w:w="182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5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bl>
    <w:p>
      <w:pPr>
        <w:pStyle w:val="2"/>
        <w:ind w:left="0" w:leftChars="0" w:firstLine="0" w:firstLineChars="0"/>
        <w:rPr>
          <w:rFonts w:hint="default"/>
          <w:sz w:val="16"/>
          <w:szCs w:val="16"/>
          <w:lang w:val="en-US" w:eastAsia="zh-CN"/>
        </w:rPr>
      </w:pPr>
    </w:p>
    <w:p>
      <w:pPr>
        <w:pStyle w:val="2"/>
        <w:rPr>
          <w:rFonts w:hint="eastAsia"/>
          <w:sz w:val="16"/>
          <w:szCs w:val="16"/>
          <w:lang w:val="en-US" w:eastAsia="zh-CN"/>
        </w:rPr>
      </w:pPr>
    </w:p>
    <w:p>
      <w:pPr>
        <w:pStyle w:val="2"/>
        <w:rPr>
          <w:rFonts w:hint="eastAsia"/>
          <w:sz w:val="16"/>
          <w:szCs w:val="16"/>
          <w:lang w:val="en-US" w:eastAsia="zh-CN"/>
        </w:rPr>
      </w:pPr>
    </w:p>
    <w:p>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6"/>
        <w:gridCol w:w="1970"/>
        <w:gridCol w:w="2165"/>
        <w:gridCol w:w="3529"/>
        <w:gridCol w:w="845"/>
        <w:gridCol w:w="570"/>
        <w:gridCol w:w="1781"/>
        <w:gridCol w:w="1581"/>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766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[13060522P00362610001K]2022年纪检监察退休人员职业年金虚账纪实资金</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49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766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49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4028"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2022年退休人员职业年金虚账纪实资金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1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1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1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41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1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1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05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保障退休人员工资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9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3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1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5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3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5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人数</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按个人实际情况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职业年金虚账纪实标准</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职业年金虚账纪实标准</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按标准缴纳</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按标准缴纳</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按缴纳标准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按时间节点及时缴纳</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按时间节点及时缴纳</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按时间节点缴纳</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职业年金标准</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是否及时缴纳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6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职业年金具体金额</w:t>
            </w:r>
          </w:p>
        </w:tc>
        <w:tc>
          <w:tcPr>
            <w:tcW w:w="352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职业年金具体金额</w:t>
            </w:r>
          </w:p>
        </w:tc>
        <w:tc>
          <w:tcPr>
            <w:tcW w:w="84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足额缴纳</w:t>
            </w:r>
          </w:p>
        </w:tc>
        <w:tc>
          <w:tcPr>
            <w:tcW w:w="158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足额缴纳</w:t>
            </w:r>
          </w:p>
        </w:tc>
        <w:tc>
          <w:tcPr>
            <w:tcW w:w="158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加强退休人员归属感</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通过按时发放职业年金，改善退休生活</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生活改善提升</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生活改善提升</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6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352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84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158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158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3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w:t>
            </w:r>
          </w:p>
        </w:tc>
      </w:tr>
    </w:tbl>
    <w:tbl>
      <w:tblPr>
        <w:tblStyle w:val="5"/>
        <w:tblpPr w:leftFromText="180" w:rightFromText="180" w:vertAnchor="text" w:horzAnchor="page" w:tblpX="756" w:tblpY="55"/>
        <w:tblOverlap w:val="never"/>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6"/>
        <w:gridCol w:w="2021"/>
        <w:gridCol w:w="1620"/>
        <w:gridCol w:w="2633"/>
        <w:gridCol w:w="856"/>
        <w:gridCol w:w="588"/>
        <w:gridCol w:w="2823"/>
        <w:gridCol w:w="1820"/>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27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[13060522P00362210001W]2022年纪检监察办案经费</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27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988"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2022年纪检监察办案需要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6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426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36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426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96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做好经费保障，保障办案经费。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0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6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426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8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8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保障办案人数</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保障办案人数</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办案人数</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保障办案人数</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运转保障率</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各项工作保障率</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及时保障各项工作</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经费保障及时性</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及时保障办案经费</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及时保障办案经费</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办案经费成本</w:t>
            </w:r>
          </w:p>
        </w:tc>
        <w:tc>
          <w:tcPr>
            <w:tcW w:w="263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办案经费成本</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办公费，公务用车、公务接待</w:t>
            </w:r>
          </w:p>
        </w:tc>
        <w:tc>
          <w:tcPr>
            <w:tcW w:w="18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按统一规定执行</w:t>
            </w:r>
          </w:p>
        </w:tc>
        <w:tc>
          <w:tcPr>
            <w:tcW w:w="162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263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18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162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r>
    </w:tbl>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2145"/>
        <w:gridCol w:w="1470"/>
        <w:gridCol w:w="1812"/>
        <w:gridCol w:w="681"/>
        <w:gridCol w:w="634"/>
        <w:gridCol w:w="2664"/>
        <w:gridCol w:w="2309"/>
        <w:gridCol w:w="1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542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[13060522P00358710001W]2022年纪检监察临时聘用资金</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542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694"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为纪检工作顺利开展提供检务保障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6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9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4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9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4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54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为纪检工作顺利开展提供检务保障。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目标2</w:t>
            </w:r>
          </w:p>
        </w:tc>
        <w:tc>
          <w:tcPr>
            <w:tcW w:w="1154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提高执法水平和办案质量,提升纪检监察机关办案能力。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1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9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3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3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人员数量</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人员数量</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发放1人工资</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综合事务管理工作完成率</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完成全部工作</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综合事务管理工作完成率</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按规定及时发放工资及缴纳保险</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按规定及时发放工资及缴纳保险</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4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181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68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4.69</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到年底全额发放</w:t>
            </w:r>
          </w:p>
        </w:tc>
        <w:tc>
          <w:tcPr>
            <w:tcW w:w="230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197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提高工作人员的工作效率</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提高工作人员的工作效率</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服务的改善和提升</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服务的改善和提升</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服务改善提升</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服务的改善提升</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各项工作按时率</w:t>
            </w:r>
          </w:p>
        </w:tc>
        <w:tc>
          <w:tcPr>
            <w:tcW w:w="181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各项工作按时完成率</w:t>
            </w:r>
          </w:p>
        </w:tc>
        <w:tc>
          <w:tcPr>
            <w:tcW w:w="68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230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197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职工满意率</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职工满意率</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bl>
    <w:p>
      <w:pPr>
        <w:pStyle w:val="2"/>
        <w:ind w:left="0" w:leftChars="0" w:firstLine="0" w:firstLineChars="0"/>
        <w:rPr>
          <w:rFonts w:hint="eastAsia"/>
          <w:sz w:val="16"/>
          <w:szCs w:val="16"/>
          <w:lang w:val="en-US" w:eastAsia="zh-CN"/>
        </w:rPr>
      </w:pPr>
      <w:r>
        <w:rPr>
          <w:rFonts w:hint="eastAsia"/>
          <w:sz w:val="16"/>
          <w:szCs w:val="16"/>
          <w:lang w:val="en-US" w:eastAsia="zh-CN"/>
        </w:rPr>
        <w:t xml:space="preserve"> </w:t>
      </w: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1845"/>
        <w:gridCol w:w="1395"/>
        <w:gridCol w:w="4120"/>
        <w:gridCol w:w="675"/>
        <w:gridCol w:w="596"/>
        <w:gridCol w:w="1880"/>
        <w:gridCol w:w="1429"/>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7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[13060522P003600100013]2022年纪检监察市管会调入经费（许金龙）</w:t>
            </w: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15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7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15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2022年许金龙工资及</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负担保险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2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1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2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32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1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93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加大纪检监察队伍建设。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目标2</w:t>
            </w:r>
          </w:p>
        </w:tc>
        <w:tc>
          <w:tcPr>
            <w:tcW w:w="1193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提高办案能力。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4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1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4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人数</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工资福利等发放精准性</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工资福利等发放人员范围的精准性和发放依据的准确性</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完成全部工作</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工作完成情况</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年底全部发放完毕</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按规定时限发放</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工资福利标准</w:t>
            </w:r>
          </w:p>
        </w:tc>
        <w:tc>
          <w:tcPr>
            <w:tcW w:w="41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工资福利标准</w:t>
            </w:r>
          </w:p>
        </w:tc>
        <w:tc>
          <w:tcPr>
            <w:tcW w:w="67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按规定执行</w:t>
            </w:r>
          </w:p>
        </w:tc>
        <w:tc>
          <w:tcPr>
            <w:tcW w:w="142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按规定执行</w:t>
            </w:r>
          </w:p>
        </w:tc>
        <w:tc>
          <w:tcPr>
            <w:tcW w:w="184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保持干部队伍稳定</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通过按时发放工资福利等，进一步增强队伍建设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保持干部队伍相对稳定</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保持干部队伍相对稳定</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41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67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各项工作任务按时完成</w:t>
            </w:r>
          </w:p>
        </w:tc>
        <w:tc>
          <w:tcPr>
            <w:tcW w:w="142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各项工作按时完成率</w:t>
            </w:r>
          </w:p>
        </w:tc>
        <w:tc>
          <w:tcPr>
            <w:tcW w:w="184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4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安实际工作为准</w:t>
            </w:r>
          </w:p>
        </w:tc>
      </w:tr>
    </w:tbl>
    <w:p>
      <w:pPr>
        <w:pStyle w:val="2"/>
        <w:ind w:left="0" w:leftChars="0" w:firstLine="0" w:firstLineChars="0"/>
        <w:rPr>
          <w:rFonts w:hint="default"/>
          <w:sz w:val="16"/>
          <w:szCs w:val="16"/>
          <w:lang w:val="en-US" w:eastAsia="zh-CN"/>
        </w:rPr>
      </w:pPr>
    </w:p>
    <w:p>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4"/>
        <w:gridCol w:w="1643"/>
        <w:gridCol w:w="2370"/>
        <w:gridCol w:w="2380"/>
        <w:gridCol w:w="793"/>
        <w:gridCol w:w="543"/>
        <w:gridCol w:w="2370"/>
        <w:gridCol w:w="2367"/>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39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[13060522P00362810001Y]2022年纪检监察巡察专项经费</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2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39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2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95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2022年巡察专项经费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0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70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40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70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30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提升巡察质量，加强全区巡察干部素质。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3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70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3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巡察村、社区、</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数量</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巡察村、社区、</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数量</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个</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巡察村、社区、</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数量</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3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238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79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23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14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3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238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79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23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14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bl>
    <w:p>
      <w:pPr>
        <w:pStyle w:val="2"/>
        <w:ind w:left="0" w:leftChars="0" w:firstLine="0" w:firstLineChars="0"/>
        <w:sectPr>
          <w:pgSz w:w="16838" w:h="11906" w:orient="landscape"/>
          <w:pgMar w:top="720" w:right="720" w:bottom="720" w:left="720" w:header="851" w:footer="992" w:gutter="0"/>
          <w:cols w:space="720" w:num="1"/>
          <w:rtlGutter w:val="0"/>
          <w:docGrid w:type="lines" w:linePitch="312" w:charSpace="0"/>
        </w:sectPr>
      </w:pPr>
    </w:p>
    <w:p>
      <w:pPr>
        <w:sectPr>
          <w:pgSz w:w="16838" w:h="11906" w:orient="landscape"/>
          <w:pgMar w:top="1134" w:right="1531" w:bottom="1134" w:left="1474" w:header="851" w:footer="992" w:gutter="0"/>
          <w:cols w:space="720" w:num="1"/>
          <w:rtlGutter w:val="0"/>
          <w:docGrid w:type="lines" w:linePitch="312" w:charSpace="0"/>
        </w:sectPr>
      </w:pPr>
    </w:p>
    <w:p>
      <w:pPr>
        <w:pStyle w:val="2"/>
        <w:rPr>
          <w:rFonts w:hint="eastAsia" w:ascii="宋体" w:cs="宋体"/>
          <w:sz w:val="30"/>
          <w:szCs w:val="30"/>
          <w:lang w:eastAsia="zh-CN"/>
        </w:rPr>
      </w:pPr>
    </w:p>
    <w:p>
      <w:pPr>
        <w:pStyle w:val="2"/>
        <w:rPr>
          <w:rFonts w:hint="eastAsia" w:ascii="宋体" w:cs="宋体"/>
          <w:sz w:val="30"/>
          <w:szCs w:val="30"/>
          <w:lang w:eastAsia="zh-CN"/>
        </w:rPr>
      </w:pPr>
    </w:p>
    <w:p>
      <w:pPr>
        <w:pStyle w:val="2"/>
        <w:rPr>
          <w:rFonts w:hint="eastAsia" w:ascii="宋体" w:cs="宋体"/>
          <w:sz w:val="30"/>
          <w:szCs w:val="30"/>
          <w:lang w:eastAsia="zh-CN"/>
        </w:r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sz w:val="32"/>
          <w:szCs w:val="32"/>
          <w:lang w:val="en-US" w:eastAsia="zh-CN"/>
        </w:rPr>
        <w:t>纪工委</w:t>
      </w:r>
      <w:r>
        <w:rPr>
          <w:rFonts w:hint="eastAsia" w:ascii="仿宋" w:hAnsi="仿宋" w:eastAsia="仿宋"/>
          <w:sz w:val="32"/>
          <w:szCs w:val="32"/>
        </w:rPr>
        <w:t>安排采购预算</w:t>
      </w:r>
      <w:r>
        <w:rPr>
          <w:rFonts w:hint="eastAsia" w:ascii="仿宋" w:hAnsi="仿宋" w:eastAsia="仿宋"/>
          <w:sz w:val="32"/>
          <w:szCs w:val="32"/>
          <w:lang w:val="en-US" w:eastAsia="zh-CN"/>
        </w:rPr>
        <w:t>0.65</w:t>
      </w:r>
      <w:r>
        <w:rPr>
          <w:rFonts w:hint="eastAsia" w:ascii="仿宋" w:hAnsi="仿宋" w:eastAsia="仿宋"/>
          <w:sz w:val="32"/>
          <w:szCs w:val="32"/>
        </w:rPr>
        <w:t>万元。具体内容见下表：</w:t>
      </w:r>
    </w:p>
    <w:p>
      <w:pPr>
        <w:ind w:firstLine="640" w:firstLineChars="200"/>
        <w:jc w:val="left"/>
        <w:outlineLvl w:val="0"/>
        <w:rPr>
          <w:rFonts w:hint="eastAsia" w:ascii="仿宋" w:hAnsi="仿宋" w:eastAsia="仿宋"/>
          <w:sz w:val="32"/>
          <w:szCs w:val="32"/>
        </w:rPr>
      </w:pPr>
    </w:p>
    <w:tbl>
      <w:tblPr>
        <w:tblStyle w:val="5"/>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pPr>
              <w:spacing w:line="300" w:lineRule="exact"/>
              <w:jc w:val="center"/>
              <w:rPr>
                <w:rFonts w:ascii="????_GBK" w:eastAsia="Times New Roman"/>
                <w:b/>
              </w:rPr>
            </w:pPr>
            <w:r>
              <w:rPr>
                <w:rFonts w:ascii="????_GBK" w:eastAsia="Times New Roman"/>
                <w:b/>
              </w:rPr>
              <w:t>数量</w:t>
            </w:r>
            <w:r>
              <w:rPr>
                <w:rFonts w:hint="eastAsia" w:ascii="????_GBK"/>
                <w:b/>
                <w:lang w:eastAsia="zh-CN"/>
              </w:rPr>
              <w:t>部门</w:t>
            </w:r>
          </w:p>
        </w:tc>
        <w:tc>
          <w:tcPr>
            <w:tcW w:w="661" w:type="dxa"/>
            <w:vMerge w:val="restart"/>
            <w:vAlign w:val="center"/>
          </w:tcPr>
          <w:p>
            <w:pPr>
              <w:spacing w:line="300" w:lineRule="exact"/>
              <w:jc w:val="center"/>
              <w:rPr>
                <w:rFonts w:ascii="????_GBK" w:eastAsia="Times New Roman"/>
                <w:b/>
              </w:rPr>
            </w:pPr>
            <w:r>
              <w:rPr>
                <w:rFonts w:ascii="????_GBK" w:eastAsia="Times New Roman"/>
                <w:b/>
              </w:rPr>
              <w:t>数量</w:t>
            </w:r>
          </w:p>
        </w:tc>
        <w:tc>
          <w:tcPr>
            <w:tcW w:w="679" w:type="dxa"/>
            <w:vMerge w:val="restart"/>
            <w:vAlign w:val="center"/>
          </w:tcPr>
          <w:p>
            <w:pPr>
              <w:spacing w:line="300" w:lineRule="exact"/>
              <w:jc w:val="center"/>
              <w:rPr>
                <w:rFonts w:ascii="????_GBK" w:eastAsia="Times New Roman"/>
                <w:b/>
              </w:rPr>
            </w:pPr>
            <w:r>
              <w:rPr>
                <w:rFonts w:ascii="????_GBK" w:eastAsia="Times New Roman"/>
                <w:b/>
              </w:rPr>
              <w:t>单价</w:t>
            </w:r>
          </w:p>
        </w:tc>
        <w:tc>
          <w:tcPr>
            <w:tcW w:w="4740"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restart"/>
            <w:vAlign w:val="center"/>
          </w:tcPr>
          <w:p>
            <w:pPr>
              <w:spacing w:line="300" w:lineRule="exact"/>
              <w:jc w:val="center"/>
              <w:rPr>
                <w:rFonts w:ascii="????_GBK" w:eastAsia="Times New Roman"/>
                <w:b/>
              </w:rPr>
            </w:pPr>
            <w:r>
              <w:rPr>
                <w:rFonts w:ascii="????_GBK" w:eastAsia="Times New Roman"/>
                <w:b/>
              </w:rPr>
              <w:t>总计</w:t>
            </w:r>
          </w:p>
        </w:tc>
        <w:tc>
          <w:tcPr>
            <w:tcW w:w="3406" w:type="dxa"/>
            <w:gridSpan w:val="5"/>
            <w:vAlign w:val="center"/>
          </w:tcPr>
          <w:p>
            <w:pPr>
              <w:spacing w:line="300" w:lineRule="exact"/>
              <w:jc w:val="center"/>
              <w:rPr>
                <w:rFonts w:ascii="????_GBK" w:eastAsia="Times New Roman"/>
                <w:b/>
              </w:rPr>
            </w:pPr>
            <w:r>
              <w:rPr>
                <w:rFonts w:ascii="????_GBK" w:eastAsia="Times New Roman"/>
                <w:b/>
              </w:rPr>
              <w:t>当年</w:t>
            </w:r>
            <w:r>
              <w:rPr>
                <w:rFonts w:hint="eastAsia" w:ascii="????_GBK"/>
                <w:b/>
                <w:lang w:eastAsia="zh-CN"/>
              </w:rPr>
              <w:t>部门</w:t>
            </w:r>
            <w:r>
              <w:rPr>
                <w:rFonts w:ascii="????_GBK" w:eastAsia="Times New Roman"/>
                <w:b/>
              </w:rPr>
              <w:t>预算安排资金</w:t>
            </w:r>
          </w:p>
        </w:tc>
        <w:tc>
          <w:tcPr>
            <w:tcW w:w="622"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pPr>
              <w:spacing w:line="300" w:lineRule="exact"/>
              <w:jc w:val="left"/>
              <w:outlineLvl w:val="0"/>
            </w:pPr>
          </w:p>
        </w:tc>
        <w:tc>
          <w:tcPr>
            <w:tcW w:w="885" w:type="dxa"/>
            <w:vMerge w:val="continue"/>
            <w:vAlign w:val="center"/>
          </w:tcPr>
          <w:p>
            <w:pPr>
              <w:spacing w:line="300" w:lineRule="exact"/>
              <w:jc w:val="left"/>
              <w:outlineLvl w:val="0"/>
            </w:pP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continue"/>
            <w:vAlign w:val="center"/>
          </w:tcPr>
          <w:p>
            <w:pPr>
              <w:spacing w:line="300" w:lineRule="exact"/>
              <w:jc w:val="left"/>
              <w:outlineLvl w:val="0"/>
            </w:pPr>
          </w:p>
        </w:tc>
        <w:tc>
          <w:tcPr>
            <w:tcW w:w="711" w:type="dxa"/>
            <w:vAlign w:val="center"/>
          </w:tcPr>
          <w:p>
            <w:pPr>
              <w:spacing w:line="300" w:lineRule="exact"/>
              <w:jc w:val="center"/>
              <w:rPr>
                <w:rFonts w:ascii="????_GBK" w:eastAsia="Times New Roman"/>
                <w:b/>
              </w:rPr>
            </w:pPr>
            <w:r>
              <w:rPr>
                <w:rFonts w:ascii="????_GBK" w:eastAsia="Times New Roman"/>
                <w:b/>
              </w:rPr>
              <w:t>合计</w:t>
            </w:r>
          </w:p>
        </w:tc>
        <w:tc>
          <w:tcPr>
            <w:tcW w:w="711" w:type="dxa"/>
            <w:vAlign w:val="center"/>
          </w:tcPr>
          <w:p>
            <w:pPr>
              <w:spacing w:line="300" w:lineRule="exact"/>
              <w:jc w:val="center"/>
              <w:rPr>
                <w:rFonts w:ascii="????_GBK" w:eastAsia="Times New Roman"/>
                <w:b/>
              </w:rPr>
            </w:pPr>
            <w:r>
              <w:rPr>
                <w:rFonts w:ascii="????_GBK" w:eastAsia="Times New Roman"/>
                <w:b/>
              </w:rPr>
              <w:t>一般公共预算拨款</w:t>
            </w:r>
          </w:p>
        </w:tc>
        <w:tc>
          <w:tcPr>
            <w:tcW w:w="660" w:type="dxa"/>
            <w:vAlign w:val="center"/>
          </w:tcPr>
          <w:p>
            <w:pPr>
              <w:spacing w:line="300" w:lineRule="exact"/>
              <w:jc w:val="center"/>
              <w:rPr>
                <w:rFonts w:ascii="????_GBK" w:eastAsia="Times New Roman"/>
                <w:b/>
              </w:rPr>
            </w:pPr>
            <w:r>
              <w:rPr>
                <w:rFonts w:ascii="????_GBK" w:eastAsia="Times New Roman"/>
                <w:b/>
              </w:rPr>
              <w:t>基金预算拨款</w:t>
            </w:r>
          </w:p>
        </w:tc>
        <w:tc>
          <w:tcPr>
            <w:tcW w:w="662" w:type="dxa"/>
            <w:vAlign w:val="center"/>
          </w:tcPr>
          <w:p>
            <w:pPr>
              <w:spacing w:line="300" w:lineRule="exact"/>
              <w:jc w:val="center"/>
              <w:rPr>
                <w:rFonts w:ascii="????_GBK" w:eastAsia="Times New Roman"/>
                <w:b/>
              </w:rPr>
            </w:pPr>
            <w:r>
              <w:rPr>
                <w:rFonts w:ascii="????_GBK" w:eastAsia="Times New Roman"/>
                <w:b/>
              </w:rPr>
              <w:t>财政专户核拨</w:t>
            </w:r>
          </w:p>
        </w:tc>
        <w:tc>
          <w:tcPr>
            <w:tcW w:w="662" w:type="dxa"/>
            <w:vAlign w:val="center"/>
          </w:tcPr>
          <w:p>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pPr>
              <w:spacing w:line="300" w:lineRule="exact"/>
              <w:jc w:val="center"/>
              <w:rPr>
                <w:rFonts w:ascii="????_GBK" w:eastAsia="Times New Roman"/>
                <w:b/>
              </w:rPr>
            </w:pPr>
            <w:r>
              <w:rPr>
                <w:rFonts w:ascii="????_GBK" w:eastAsia="Times New Roman"/>
                <w:b/>
              </w:rPr>
              <w:t>合　计</w:t>
            </w:r>
          </w:p>
        </w:tc>
        <w:tc>
          <w:tcPr>
            <w:tcW w:w="885" w:type="dxa"/>
            <w:vAlign w:val="center"/>
          </w:tcPr>
          <w:p>
            <w:pPr>
              <w:spacing w:line="300" w:lineRule="exact"/>
              <w:jc w:val="right"/>
              <w:rPr>
                <w:rFonts w:hint="default" w:ascii="????_GBK" w:eastAsia="宋体"/>
                <w:b/>
                <w:lang w:val="en-US" w:eastAsia="zh-CN"/>
              </w:rPr>
            </w:pPr>
            <w:r>
              <w:rPr>
                <w:rFonts w:hint="eastAsia" w:ascii="????_GBK"/>
                <w:b/>
                <w:lang w:val="en-US" w:eastAsia="zh-CN"/>
              </w:rPr>
              <w:t>0.65</w:t>
            </w:r>
          </w:p>
        </w:tc>
        <w:tc>
          <w:tcPr>
            <w:tcW w:w="1575" w:type="dxa"/>
            <w:vAlign w:val="center"/>
          </w:tcPr>
          <w:p>
            <w:pPr>
              <w:spacing w:line="300" w:lineRule="exact"/>
              <w:jc w:val="left"/>
              <w:rPr>
                <w:rFonts w:ascii="????_GBK" w:eastAsia="Times New Roman"/>
                <w:b/>
              </w:rPr>
            </w:pPr>
          </w:p>
        </w:tc>
        <w:tc>
          <w:tcPr>
            <w:tcW w:w="825" w:type="dxa"/>
            <w:vAlign w:val="center"/>
          </w:tcPr>
          <w:p>
            <w:pPr>
              <w:spacing w:line="300" w:lineRule="exact"/>
              <w:jc w:val="left"/>
              <w:rPr>
                <w:rFonts w:ascii="????_GBK" w:eastAsia="Times New Roman"/>
                <w:b/>
              </w:rPr>
            </w:pPr>
          </w:p>
        </w:tc>
        <w:tc>
          <w:tcPr>
            <w:tcW w:w="407" w:type="dxa"/>
            <w:vAlign w:val="center"/>
          </w:tcPr>
          <w:p>
            <w:pPr>
              <w:spacing w:line="300" w:lineRule="exact"/>
              <w:jc w:val="left"/>
              <w:rPr>
                <w:rFonts w:ascii="????_GBK" w:eastAsia="Times New Roman"/>
                <w:b/>
              </w:rPr>
            </w:pPr>
          </w:p>
        </w:tc>
        <w:tc>
          <w:tcPr>
            <w:tcW w:w="661" w:type="dxa"/>
            <w:vAlign w:val="center"/>
          </w:tcPr>
          <w:p>
            <w:pPr>
              <w:spacing w:line="300" w:lineRule="exact"/>
              <w:jc w:val="right"/>
              <w:rPr>
                <w:rFonts w:hint="eastAsia" w:ascii="????_GBK" w:eastAsia="宋体"/>
                <w:b/>
                <w:lang w:val="en-US" w:eastAsia="zh-CN"/>
              </w:rPr>
            </w:pPr>
            <w:r>
              <w:rPr>
                <w:rFonts w:hint="eastAsia" w:ascii="????_GBK"/>
                <w:b/>
                <w:lang w:val="en-US" w:eastAsia="zh-CN"/>
              </w:rPr>
              <w:t>6</w:t>
            </w:r>
          </w:p>
        </w:tc>
        <w:tc>
          <w:tcPr>
            <w:tcW w:w="679" w:type="dxa"/>
            <w:vAlign w:val="center"/>
          </w:tcPr>
          <w:p>
            <w:pPr>
              <w:spacing w:line="300" w:lineRule="exact"/>
              <w:jc w:val="right"/>
              <w:rPr>
                <w:rFonts w:hint="default" w:ascii="????_GBK" w:eastAsia="宋体"/>
                <w:b/>
                <w:lang w:val="en-US" w:eastAsia="zh-CN"/>
              </w:rPr>
            </w:pPr>
            <w:r>
              <w:rPr>
                <w:rFonts w:hint="eastAsia" w:ascii="????_GBK"/>
                <w:b/>
                <w:lang w:val="en-US" w:eastAsia="zh-CN"/>
              </w:rPr>
              <w:t>0.33</w:t>
            </w:r>
          </w:p>
        </w:tc>
        <w:tc>
          <w:tcPr>
            <w:tcW w:w="712" w:type="dxa"/>
            <w:vAlign w:val="center"/>
          </w:tcPr>
          <w:p>
            <w:pPr>
              <w:spacing w:line="300" w:lineRule="exact"/>
              <w:jc w:val="right"/>
              <w:rPr>
                <w:rFonts w:hint="default" w:ascii="????_GBK" w:eastAsia="宋体"/>
                <w:b/>
                <w:lang w:val="en-US" w:eastAsia="zh-CN"/>
              </w:rPr>
            </w:pPr>
            <w:r>
              <w:rPr>
                <w:rFonts w:hint="eastAsia" w:ascii="????_GBK"/>
                <w:b/>
                <w:lang w:val="en-US" w:eastAsia="zh-CN"/>
              </w:rPr>
              <w:t>0.65</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0.65</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0.65</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b/>
              </w:rPr>
            </w:pPr>
            <w:r>
              <w:rPr>
                <w:rFonts w:hint="eastAsia" w:ascii="????_GBK"/>
                <w:b/>
              </w:rPr>
              <w:t>购置文件柜</w:t>
            </w:r>
          </w:p>
        </w:tc>
        <w:tc>
          <w:tcPr>
            <w:tcW w:w="885"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1575" w:type="dxa"/>
            <w:vAlign w:val="center"/>
          </w:tcPr>
          <w:p>
            <w:pPr>
              <w:spacing w:line="300" w:lineRule="exact"/>
              <w:jc w:val="left"/>
              <w:rPr>
                <w:rFonts w:ascii="????_GBK"/>
                <w:b/>
              </w:rPr>
            </w:pPr>
            <w:r>
              <w:rPr>
                <w:rFonts w:hint="eastAsia" w:ascii="????_GBK"/>
                <w:b/>
              </w:rPr>
              <w:t>文件柜</w:t>
            </w:r>
          </w:p>
        </w:tc>
        <w:tc>
          <w:tcPr>
            <w:tcW w:w="825" w:type="dxa"/>
            <w:vAlign w:val="center"/>
          </w:tcPr>
          <w:p>
            <w:pPr>
              <w:spacing w:line="300" w:lineRule="exact"/>
              <w:jc w:val="left"/>
              <w:rPr>
                <w:rFonts w:ascii="????_GBK"/>
                <w:b/>
              </w:rPr>
            </w:pPr>
            <w:r>
              <w:rPr>
                <w:rFonts w:hint="eastAsia" w:ascii="????_GBK"/>
                <w:b/>
              </w:rPr>
              <w:t>A06家具用具</w:t>
            </w:r>
          </w:p>
        </w:tc>
        <w:tc>
          <w:tcPr>
            <w:tcW w:w="407" w:type="dxa"/>
            <w:vAlign w:val="center"/>
          </w:tcPr>
          <w:p>
            <w:pPr>
              <w:spacing w:line="300" w:lineRule="exact"/>
              <w:jc w:val="left"/>
              <w:rPr>
                <w:rFonts w:hint="eastAsia" w:ascii="????_GBK" w:eastAsia="宋体"/>
                <w:b/>
                <w:lang w:val="en-US" w:eastAsia="zh-CN"/>
              </w:rPr>
            </w:pPr>
            <w:r>
              <w:rPr>
                <w:rFonts w:hint="eastAsia" w:ascii="????_GBK"/>
                <w:b/>
                <w:lang w:val="en-US" w:eastAsia="zh-CN"/>
              </w:rPr>
              <w:t>个</w:t>
            </w:r>
          </w:p>
        </w:tc>
        <w:tc>
          <w:tcPr>
            <w:tcW w:w="661"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679" w:type="dxa"/>
            <w:vAlign w:val="center"/>
          </w:tcPr>
          <w:p>
            <w:pPr>
              <w:spacing w:line="300" w:lineRule="exact"/>
              <w:jc w:val="right"/>
              <w:rPr>
                <w:rFonts w:hint="default" w:ascii="????_GBK" w:eastAsia="宋体"/>
                <w:b/>
                <w:lang w:val="en-US" w:eastAsia="zh-CN"/>
              </w:rPr>
            </w:pPr>
            <w:r>
              <w:rPr>
                <w:rFonts w:hint="eastAsia" w:ascii="????_GBK"/>
                <w:b/>
                <w:lang w:val="en-US" w:eastAsia="zh-CN"/>
              </w:rPr>
              <w:t>0.08</w:t>
            </w:r>
          </w:p>
        </w:tc>
        <w:tc>
          <w:tcPr>
            <w:tcW w:w="712"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r>
              <w:rPr>
                <w:rFonts w:hint="eastAsia" w:ascii="????_GBK" w:eastAsia="Times New Roman"/>
                <w:b/>
              </w:rPr>
              <w:t>购置空调</w:t>
            </w:r>
          </w:p>
        </w:tc>
        <w:tc>
          <w:tcPr>
            <w:tcW w:w="885"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1575" w:type="dxa"/>
            <w:vAlign w:val="center"/>
          </w:tcPr>
          <w:p>
            <w:pPr>
              <w:spacing w:line="300" w:lineRule="exact"/>
              <w:jc w:val="left"/>
              <w:rPr>
                <w:rFonts w:ascii="????_GBK"/>
                <w:b/>
              </w:rPr>
            </w:pPr>
            <w:r>
              <w:rPr>
                <w:rFonts w:hint="eastAsia" w:ascii="????_GBK"/>
                <w:b/>
              </w:rPr>
              <w:t>空调</w:t>
            </w:r>
          </w:p>
        </w:tc>
        <w:tc>
          <w:tcPr>
            <w:tcW w:w="825" w:type="dxa"/>
            <w:vAlign w:val="center"/>
          </w:tcPr>
          <w:p>
            <w:pPr>
              <w:spacing w:line="300" w:lineRule="exact"/>
              <w:jc w:val="left"/>
              <w:rPr>
                <w:rFonts w:ascii="????_GBK"/>
                <w:b/>
              </w:rPr>
            </w:pPr>
            <w:r>
              <w:rPr>
                <w:rFonts w:hint="eastAsia" w:ascii="????_GBK"/>
                <w:b/>
              </w:rPr>
              <w:t>A0206180203空调机</w:t>
            </w:r>
          </w:p>
        </w:tc>
        <w:tc>
          <w:tcPr>
            <w:tcW w:w="407" w:type="dxa"/>
            <w:vAlign w:val="center"/>
          </w:tcPr>
          <w:p>
            <w:pPr>
              <w:spacing w:line="300" w:lineRule="exact"/>
              <w:jc w:val="left"/>
              <w:rPr>
                <w:rFonts w:hint="eastAsia" w:ascii="????_GBK" w:eastAsia="宋体"/>
                <w:b/>
                <w:lang w:val="en-US" w:eastAsia="zh-CN"/>
              </w:rPr>
            </w:pPr>
            <w:r>
              <w:rPr>
                <w:rFonts w:hint="eastAsia" w:ascii="????_GBK"/>
                <w:b/>
                <w:lang w:val="en-US" w:eastAsia="zh-CN"/>
              </w:rPr>
              <w:t>台</w:t>
            </w:r>
          </w:p>
        </w:tc>
        <w:tc>
          <w:tcPr>
            <w:tcW w:w="661"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679"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712"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right"/>
              <w:rPr>
                <w:rFonts w:ascii="????_GBK"/>
                <w:b/>
              </w:rPr>
            </w:pPr>
          </w:p>
        </w:tc>
        <w:tc>
          <w:tcPr>
            <w:tcW w:w="1575" w:type="dxa"/>
            <w:vAlign w:val="center"/>
          </w:tcPr>
          <w:p>
            <w:pPr>
              <w:spacing w:line="300" w:lineRule="exact"/>
              <w:jc w:val="left"/>
              <w:rPr>
                <w:rFonts w:ascii="????_GBK"/>
                <w:b/>
              </w:rPr>
            </w:pPr>
          </w:p>
        </w:tc>
        <w:tc>
          <w:tcPr>
            <w:tcW w:w="825" w:type="dxa"/>
            <w:vAlign w:val="center"/>
          </w:tcPr>
          <w:p>
            <w:pPr>
              <w:spacing w:line="300" w:lineRule="exact"/>
              <w:jc w:val="left"/>
              <w:rPr>
                <w:rFonts w:ascii="????_GBK"/>
                <w:b/>
              </w:rPr>
            </w:pPr>
          </w:p>
        </w:tc>
        <w:tc>
          <w:tcPr>
            <w:tcW w:w="407" w:type="dxa"/>
            <w:vAlign w:val="center"/>
          </w:tcPr>
          <w:p>
            <w:pPr>
              <w:spacing w:line="300" w:lineRule="exact"/>
              <w:jc w:val="left"/>
              <w:rPr>
                <w:rFonts w:ascii="????_GBK"/>
                <w:b/>
              </w:rPr>
            </w:pPr>
          </w:p>
        </w:tc>
        <w:tc>
          <w:tcPr>
            <w:tcW w:w="661" w:type="dxa"/>
            <w:vAlign w:val="center"/>
          </w:tcPr>
          <w:p>
            <w:pPr>
              <w:spacing w:line="300" w:lineRule="exact"/>
              <w:jc w:val="right"/>
              <w:rPr>
                <w:rFonts w:ascii="????_GBK"/>
                <w:b/>
              </w:rPr>
            </w:pPr>
          </w:p>
        </w:tc>
        <w:tc>
          <w:tcPr>
            <w:tcW w:w="679" w:type="dxa"/>
            <w:vAlign w:val="center"/>
          </w:tcPr>
          <w:p>
            <w:pPr>
              <w:spacing w:line="300" w:lineRule="exact"/>
              <w:jc w:val="right"/>
              <w:rPr>
                <w:rFonts w:ascii="????_GBK"/>
                <w:b/>
              </w:rPr>
            </w:pPr>
          </w:p>
        </w:tc>
        <w:tc>
          <w:tcPr>
            <w:tcW w:w="712"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bl>
    <w:p>
      <w:pPr>
        <w:spacing w:line="600" w:lineRule="exact"/>
        <w:ind w:left="420" w:leftChars="200"/>
        <w:rPr>
          <w:rFonts w:ascii="仿宋" w:hAnsi="仿宋" w:eastAsia="仿宋"/>
          <w:sz w:val="32"/>
          <w:szCs w:val="32"/>
        </w:rPr>
      </w:pPr>
      <w:r>
        <w:rPr>
          <w:rFonts w:hint="eastAsia" w:ascii="仿宋" w:hAnsi="仿宋" w:eastAsia="仿宋"/>
          <w:sz w:val="32"/>
          <w:szCs w:val="32"/>
          <w:lang w:eastAsia="zh-CN"/>
        </w:rPr>
        <w:t>备注：</w:t>
      </w:r>
      <w:r>
        <w:rPr>
          <w:rFonts w:hint="eastAsia" w:ascii="仿宋" w:hAnsi="仿宋" w:eastAsia="仿宋"/>
          <w:sz w:val="32"/>
          <w:szCs w:val="32"/>
          <w:lang w:val="en-US" w:eastAsia="zh-CN"/>
        </w:rPr>
        <w:t>2022年拟</w:t>
      </w:r>
      <w:r>
        <w:rPr>
          <w:rFonts w:hint="eastAsia" w:ascii="仿宋" w:hAnsi="仿宋" w:eastAsia="仿宋"/>
          <w:sz w:val="32"/>
          <w:szCs w:val="32"/>
        </w:rPr>
        <w:t>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，其中：购置文件柜等</w:t>
      </w:r>
      <w:r>
        <w:rPr>
          <w:rFonts w:hint="eastAsia" w:ascii="仿宋" w:hAnsi="仿宋" w:eastAsia="仿宋"/>
          <w:sz w:val="32"/>
          <w:szCs w:val="32"/>
          <w:highlight w:val="none"/>
          <w:lang w:val="en-US" w:eastAsia="zh-CN"/>
        </w:rPr>
        <w:t>0.65万元列入采购预算，购置保密柜、保险柜0.42万元不在采购目录内，未列采购预算。</w:t>
      </w: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第七部分：国有资产信息情况说明</w:t>
      </w:r>
    </w:p>
    <w:p>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w:t>
      </w:r>
      <w:r>
        <w:rPr>
          <w:rFonts w:hint="eastAsia" w:ascii="仿宋" w:hAnsi="仿宋" w:eastAsia="仿宋" w:cs="宋体"/>
          <w:sz w:val="30"/>
          <w:szCs w:val="30"/>
          <w:highlight w:val="none"/>
        </w:rPr>
        <w:t>总额</w:t>
      </w:r>
      <w:r>
        <w:rPr>
          <w:rFonts w:hint="eastAsia" w:ascii="仿宋" w:hAnsi="仿宋" w:eastAsia="仿宋" w:cs="宋体"/>
          <w:sz w:val="30"/>
          <w:szCs w:val="30"/>
          <w:highlight w:val="none"/>
          <w:lang w:val="en-US" w:eastAsia="zh-CN"/>
        </w:rPr>
        <w:t>1</w:t>
      </w:r>
      <w:r>
        <w:rPr>
          <w:rFonts w:hint="eastAsia" w:ascii="仿宋" w:hAnsi="仿宋" w:eastAsia="仿宋" w:cs="宋体"/>
          <w:sz w:val="30"/>
          <w:szCs w:val="30"/>
          <w:lang w:val="en-US" w:eastAsia="zh-CN"/>
        </w:rPr>
        <w:t>11.9</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万元</w:t>
      </w:r>
      <w:r>
        <w:rPr>
          <w:rFonts w:hint="eastAsia" w:ascii="仿宋" w:hAnsi="仿宋" w:eastAsia="仿宋"/>
          <w:sz w:val="32"/>
          <w:szCs w:val="32"/>
        </w:rPr>
        <w:t>，主要为</w:t>
      </w:r>
      <w:r>
        <w:rPr>
          <w:rFonts w:hint="eastAsia" w:ascii="仿宋" w:hAnsi="仿宋" w:eastAsia="仿宋"/>
          <w:sz w:val="32"/>
          <w:szCs w:val="32"/>
          <w:lang w:val="en-US" w:eastAsia="zh-CN"/>
        </w:rPr>
        <w:t xml:space="preserve">保险柜、文件柜、空调、保密柜等 </w:t>
      </w:r>
      <w:r>
        <w:rPr>
          <w:rFonts w:hint="eastAsia"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5"/>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预算部门编码及名称:[222]中国共产党保定白沟新城纪律检查工作委员会</w:t>
            </w:r>
          </w:p>
        </w:tc>
        <w:tc>
          <w:tcPr>
            <w:tcW w:w="3617" w:type="dxa"/>
            <w:tcBorders>
              <w:top w:val="nil"/>
              <w:left w:val="nil"/>
              <w:bottom w:val="nil"/>
              <w:right w:val="nil"/>
            </w:tcBorders>
            <w:vAlign w:val="center"/>
          </w:tcPr>
          <w:p>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w:t>
            </w:r>
            <w:r>
              <w:rPr>
                <w:rFonts w:hint="eastAsia" w:ascii="方正书宋_GBK" w:hAnsi="宋体" w:eastAsia="方正书宋_GBK" w:cs="宋体"/>
                <w:b/>
                <w:bCs/>
                <w:kern w:val="0"/>
                <w:szCs w:val="21"/>
                <w:lang w:eastAsia="zh-CN"/>
              </w:rPr>
              <w:t>部门</w:t>
            </w:r>
            <w:r>
              <w:rPr>
                <w:rFonts w:hint="eastAsia" w:ascii="方正书宋_GBK" w:hAnsi="宋体" w:eastAsia="方正书宋_GBK" w:cs="宋体"/>
                <w:b/>
                <w:bCs/>
                <w:kern w:val="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693</w:t>
            </w:r>
          </w:p>
        </w:tc>
        <w:tc>
          <w:tcPr>
            <w:tcW w:w="3617" w:type="dxa"/>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111.90</w:t>
            </w:r>
          </w:p>
        </w:tc>
      </w:tr>
    </w:tbl>
    <w:p>
      <w:pPr>
        <w:spacing w:line="520" w:lineRule="exact"/>
        <w:ind w:firstLine="640" w:firstLineChars="200"/>
        <w:rPr>
          <w:rFonts w:hint="eastAsia" w:ascii="仿宋" w:hAnsi="仿宋" w:eastAsia="仿宋"/>
          <w:sz w:val="32"/>
          <w:szCs w:val="32"/>
        </w:rPr>
      </w:pPr>
    </w:p>
    <w:p>
      <w:pPr>
        <w:spacing w:line="520" w:lineRule="exact"/>
        <w:jc w:val="center"/>
        <w:rPr>
          <w:rFonts w:ascii="仿宋" w:hAnsi="仿宋" w:eastAsia="仿宋"/>
          <w:sz w:val="32"/>
          <w:szCs w:val="32"/>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部门</w:t>
      </w:r>
      <w:r>
        <w:rPr>
          <w:rFonts w:hint="eastAsia"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hint="eastAsia"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hint="eastAsia"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hint="eastAsia" w:ascii="仿宋" w:hAnsi="仿宋" w:eastAsia="仿宋"/>
          <w:sz w:val="32"/>
          <w:szCs w:val="32"/>
        </w:rPr>
        <w:t>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w:t>
      </w:r>
      <w:r>
        <w:rPr>
          <w:rFonts w:hint="eastAsia" w:ascii="仿宋" w:hAnsi="仿宋" w:eastAsia="仿宋"/>
          <w:sz w:val="32"/>
          <w:szCs w:val="32"/>
          <w:lang w:eastAsia="zh-CN"/>
        </w:rPr>
        <w:t>部门</w:t>
      </w:r>
      <w:r>
        <w:rPr>
          <w:rFonts w:hint="eastAsia" w:ascii="仿宋" w:hAnsi="仿宋" w:eastAsia="仿宋"/>
          <w:sz w:val="32"/>
          <w:szCs w:val="32"/>
        </w:rPr>
        <w:t>（含参照公务员法管理的事业</w:t>
      </w:r>
      <w:r>
        <w:rPr>
          <w:rFonts w:hint="eastAsia" w:ascii="仿宋" w:hAnsi="仿宋" w:eastAsia="仿宋"/>
          <w:sz w:val="32"/>
          <w:szCs w:val="32"/>
          <w:lang w:eastAsia="zh-CN"/>
        </w:rPr>
        <w:t>部门</w:t>
      </w:r>
      <w:r>
        <w:rPr>
          <w:rFonts w:hint="eastAsia"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我部门</w:t>
      </w:r>
      <w:r>
        <w:rPr>
          <w:rFonts w:hint="eastAsia" w:ascii="仿宋" w:hAnsi="仿宋" w:eastAsia="仿宋" w:cs="仿宋"/>
          <w:b w:val="0"/>
          <w:bCs/>
          <w:sz w:val="32"/>
          <w:szCs w:val="32"/>
        </w:rPr>
        <w:t>无其他需说明的事项。</w:t>
      </w:r>
    </w:p>
    <w:p>
      <w:pPr>
        <w:ind w:firstLine="600" w:firstLineChars="200"/>
        <w:rPr>
          <w:rFonts w:ascii="宋体" w:cs="宋体"/>
          <w:sz w:val="30"/>
          <w:szCs w:val="30"/>
        </w:rPr>
      </w:pPr>
    </w:p>
    <w:sectPr>
      <w:pgSz w:w="11906" w:h="16838"/>
      <w:pgMar w:top="1531" w:right="1134" w:bottom="147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fldChar w:fldCharType="begin"/>
                </w:r>
                <w:r>
                  <w:rPr>
                    <w:rStyle w:val="9"/>
                  </w:rPr>
                  <w:instrText xml:space="preserve"> PAGE  </w:instrText>
                </w:r>
                <w:r>
                  <w:fldChar w:fldCharType="separate"/>
                </w:r>
                <w:r>
                  <w:rPr>
                    <w:rStyle w:val="9"/>
                  </w:rPr>
                  <w:t>19</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rPr>
        <w:rFonts w:cs="Times New Roman"/>
      </w:rPr>
    </w:lvl>
  </w:abstractNum>
  <w:abstractNum w:abstractNumId="1">
    <w:nsid w:val="00000008"/>
    <w:multiLevelType w:val="singleLevel"/>
    <w:tmpl w:val="00000008"/>
    <w:lvl w:ilvl="0" w:tentative="0">
      <w:start w:val="1"/>
      <w:numFmt w:val="chineseCounting"/>
      <w:suff w:val="nothing"/>
      <w:lvlText w:val="%1、"/>
      <w:lvlJc w:val="left"/>
      <w:rPr>
        <w:rFonts w:cs="Times New Roman"/>
      </w:rPr>
    </w:lvl>
  </w:abstractNum>
  <w:abstractNum w:abstractNumId="2">
    <w:nsid w:val="00000009"/>
    <w:multiLevelType w:val="singleLevel"/>
    <w:tmpl w:val="00000009"/>
    <w:lvl w:ilvl="0" w:tentative="0">
      <w:start w:val="3"/>
      <w:numFmt w:val="chineseCounting"/>
      <w:suff w:val="nothing"/>
      <w:lvlText w:val="（%1）"/>
      <w:lvlJc w:val="left"/>
    </w:lvl>
  </w:abstractNum>
  <w:abstractNum w:abstractNumId="3">
    <w:nsid w:val="0000000A"/>
    <w:multiLevelType w:val="singleLevel"/>
    <w:tmpl w:val="0000000A"/>
    <w:lvl w:ilvl="0" w:tentative="0">
      <w:start w:val="1"/>
      <w:numFmt w:val="chineseCounting"/>
      <w:suff w:val="nothing"/>
      <w:lvlText w:val="%1、"/>
      <w:lvlJc w:val="left"/>
    </w:lvl>
  </w:abstractNum>
  <w:abstractNum w:abstractNumId="4">
    <w:nsid w:val="0000000B"/>
    <w:multiLevelType w:val="singleLevel"/>
    <w:tmpl w:val="0000000B"/>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0MDJmNGVjYzkxOGRhNjZjZTQ1YWY0YzMxODkwOGIifQ=="/>
  </w:docVars>
  <w:rsids>
    <w:rsidRoot w:val="00000000"/>
    <w:rsid w:val="04645B13"/>
    <w:rsid w:val="05D1531A"/>
    <w:rsid w:val="1EB0423D"/>
    <w:rsid w:val="20855691"/>
    <w:rsid w:val="4949270E"/>
    <w:rsid w:val="61387A8D"/>
    <w:rsid w:val="7F097E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footer"/>
    <w:basedOn w:val="1"/>
    <w:link w:val="10"/>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1"/>
    <w:basedOn w:val="1"/>
    <w:qFormat/>
    <w:uiPriority w:val="0"/>
    <w:pPr>
      <w:ind w:firstLine="420" w:firstLineChars="200"/>
    </w:pPr>
  </w:style>
  <w:style w:type="character" w:customStyle="1" w:styleId="9">
    <w:name w:val="page number"/>
    <w:basedOn w:val="6"/>
    <w:qFormat/>
    <w:uiPriority w:val="0"/>
  </w:style>
  <w:style w:type="character" w:customStyle="1" w:styleId="10">
    <w:name w:val="Footer Char"/>
    <w:basedOn w:val="6"/>
    <w:link w:val="3"/>
    <w:semiHidden/>
    <w:qFormat/>
    <w:uiPriority w:val="0"/>
    <w:rPr>
      <w:rFonts w:cs="Times New Roman"/>
      <w:kern w:val="2"/>
      <w:sz w:val="18"/>
      <w:szCs w:val="18"/>
    </w:rPr>
  </w:style>
  <w:style w:type="character" w:customStyle="1" w:styleId="11">
    <w:name w:val="Header Char"/>
    <w:basedOn w:val="6"/>
    <w:link w:val="4"/>
    <w:semiHidden/>
    <w:qFormat/>
    <w:uiPriority w:val="0"/>
    <w:rPr>
      <w:rFonts w:cs="Times New Roman"/>
      <w:kern w:val="2"/>
      <w:sz w:val="18"/>
      <w:szCs w:val="18"/>
    </w:rPr>
  </w:style>
  <w:style w:type="character" w:customStyle="1" w:styleId="12">
    <w:name w:val="apple-converted-space"/>
    <w:basedOn w:val="6"/>
    <w:qFormat/>
    <w:uiPriority w:val="0"/>
    <w:rPr>
      <w:rFonts w:cs="Times New Roman"/>
    </w:rPr>
  </w:style>
  <w:style w:type="character" w:customStyle="1" w:styleId="13">
    <w:name w:val="fontstyle11"/>
    <w:basedOn w:val="6"/>
    <w:qFormat/>
    <w:uiPriority w:val="0"/>
    <w:rPr>
      <w:rFonts w:ascii="仿宋" w:hAnsi="仿宋" w:eastAsia="仿宋" w:cs="仿宋"/>
      <w:color w:val="000000"/>
      <w:sz w:val="32"/>
      <w:szCs w:val="32"/>
    </w:rPr>
  </w:style>
  <w:style w:type="character" w:customStyle="1" w:styleId="14">
    <w:name w:val="fontstyle41"/>
    <w:basedOn w:val="6"/>
    <w:qFormat/>
    <w:uiPriority w:val="0"/>
    <w:rPr>
      <w:rFonts w:ascii="楷体" w:hAnsi="楷体" w:eastAsia="楷体" w:cs="楷体"/>
      <w:color w:val="000000"/>
      <w:sz w:val="32"/>
      <w:szCs w:val="32"/>
    </w:rPr>
  </w:style>
  <w:style w:type="character" w:customStyle="1" w:styleId="15">
    <w:name w:val="font61"/>
    <w:basedOn w:val="6"/>
    <w:qFormat/>
    <w:uiPriority w:val="0"/>
    <w:rPr>
      <w:rFonts w:hint="eastAsia" w:ascii="宋体" w:hAnsi="宋体" w:eastAsia="宋体" w:cs="宋体"/>
      <w:color w:val="000000"/>
      <w:sz w:val="18"/>
      <w:szCs w:val="18"/>
      <w:u w:val="none"/>
    </w:rPr>
  </w:style>
  <w:style w:type="character" w:customStyle="1" w:styleId="16">
    <w:name w:val="font71"/>
    <w:basedOn w:val="6"/>
    <w:qFormat/>
    <w:uiPriority w:val="0"/>
    <w:rPr>
      <w:rFonts w:hint="default" w:ascii="Calibri" w:hAnsi="Calibri" w:cs="Calibri"/>
      <w:b/>
      <w:bCs/>
      <w:color w:val="000000"/>
      <w:sz w:val="18"/>
      <w:szCs w:val="18"/>
      <w:u w:val="none"/>
    </w:rPr>
  </w:style>
  <w:style w:type="character" w:customStyle="1" w:styleId="17">
    <w:name w:val="font51"/>
    <w:basedOn w:val="6"/>
    <w:qFormat/>
    <w:uiPriority w:val="0"/>
    <w:rPr>
      <w:rFonts w:hint="eastAsia" w:ascii="宋体" w:hAnsi="宋体" w:eastAsia="宋体" w:cs="宋体"/>
      <w:b/>
      <w:bCs/>
      <w:color w:val="000000"/>
      <w:sz w:val="18"/>
      <w:szCs w:val="18"/>
      <w:u w:val="none"/>
    </w:rPr>
  </w:style>
  <w:style w:type="character" w:customStyle="1" w:styleId="18">
    <w:name w:val="font31"/>
    <w:basedOn w:val="6"/>
    <w:qFormat/>
    <w:uiPriority w:val="0"/>
    <w:rPr>
      <w:rFonts w:hint="eastAsia" w:ascii="宋体" w:hAnsi="宋体" w:eastAsia="宋体" w:cs="宋体"/>
      <w:color w:val="000000"/>
      <w:sz w:val="16"/>
      <w:szCs w:val="16"/>
      <w:u w:val="none"/>
    </w:rPr>
  </w:style>
  <w:style w:type="character" w:customStyle="1" w:styleId="19">
    <w:name w:val="font21"/>
    <w:basedOn w:val="6"/>
    <w:qFormat/>
    <w:uiPriority w:val="0"/>
    <w:rPr>
      <w:rFonts w:hint="default" w:ascii="Calibri" w:hAnsi="Calibri" w:cs="Calibri"/>
      <w:b/>
      <w:bCs/>
      <w:color w:val="000000"/>
      <w:sz w:val="16"/>
      <w:szCs w:val="16"/>
      <w:u w:val="none"/>
    </w:rPr>
  </w:style>
  <w:style w:type="character" w:customStyle="1" w:styleId="20">
    <w:name w:val="font11"/>
    <w:basedOn w:val="6"/>
    <w:qFormat/>
    <w:uiPriority w:val="0"/>
    <w:rPr>
      <w:rFonts w:hint="default" w:ascii="Calibri" w:hAnsi="Calibri" w:cs="Calibri"/>
      <w:color w:val="000000"/>
      <w:sz w:val="16"/>
      <w:szCs w:val="16"/>
      <w:u w:val="none"/>
    </w:rPr>
  </w:style>
  <w:style w:type="character" w:customStyle="1" w:styleId="21">
    <w:name w:val="font81"/>
    <w:basedOn w:val="6"/>
    <w:qFormat/>
    <w:uiPriority w:val="0"/>
    <w:rPr>
      <w:rFonts w:hint="eastAsia" w:ascii="宋体" w:hAnsi="宋体" w:eastAsia="宋体" w:cs="宋体"/>
      <w:color w:val="000000"/>
      <w:sz w:val="18"/>
      <w:szCs w:val="18"/>
      <w:u w:val="none"/>
    </w:rPr>
  </w:style>
  <w:style w:type="character" w:customStyle="1" w:styleId="22">
    <w:name w:val="font41"/>
    <w:basedOn w:val="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23</Pages>
  <Words>11119</Words>
  <Characters>12206</Characters>
  <Lines>0</Lines>
  <Paragraphs>0</Paragraphs>
  <TotalTime>2</TotalTime>
  <ScaleCrop>false</ScaleCrop>
  <LinksUpToDate>false</LinksUpToDate>
  <CharactersWithSpaces>12237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2017-04-07T18:03:00Z</dcterms:created>
  <dc:creator>Administrator</dc:creator>
  <cp:lastModifiedBy>LENOVO</cp:lastModifiedBy>
  <cp:lastPrinted>2017-04-28T00:49:00Z</cp:lastPrinted>
  <dcterms:modified xsi:type="dcterms:W3CDTF">2023-08-22T02:13:48Z</dcterms:modified>
  <dc:title>冷月☆无极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EBB61FDDD3C24936B118F6CBE62DE76F</vt:lpwstr>
  </property>
</Properties>
</file>