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宋体" w:cs="黑体"/>
          <w:b/>
          <w:sz w:val="44"/>
          <w:szCs w:val="44"/>
        </w:rPr>
      </w:pPr>
      <w:r>
        <w:rPr>
          <w:rFonts w:hint="eastAsia" w:ascii="宋体" w:hAnsi="宋体" w:cs="黑体"/>
          <w:b/>
          <w:sz w:val="44"/>
          <w:szCs w:val="44"/>
        </w:rPr>
        <w:t>保定白沟新城白沟镇教育办公室</w:t>
      </w:r>
    </w:p>
    <w:p>
      <w:pPr>
        <w:jc w:val="center"/>
        <w:rPr>
          <w:rFonts w:ascii="宋体"/>
          <w:b/>
          <w:sz w:val="44"/>
          <w:szCs w:val="44"/>
        </w:rPr>
      </w:pPr>
      <w:r>
        <w:rPr>
          <w:rFonts w:hint="eastAsia" w:ascii="宋体" w:hAnsi="宋体"/>
          <w:b/>
          <w:sz w:val="44"/>
          <w:szCs w:val="44"/>
        </w:rPr>
        <w:t>2021年单位预算信息公开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按照《预算法》规定，现将白沟新城白沟镇教育办公室2021年单位预算公开如下：</w:t>
      </w:r>
    </w:p>
    <w:p>
      <w:pPr>
        <w:spacing w:line="520" w:lineRule="exact"/>
        <w:ind w:firstLine="643" w:firstLineChars="200"/>
        <w:jc w:val="center"/>
        <w:rPr>
          <w:rFonts w:ascii="黑体" w:hAnsi="黑体" w:eastAsia="黑体"/>
          <w:b/>
          <w:bCs/>
          <w:sz w:val="10"/>
          <w:szCs w:val="10"/>
        </w:rPr>
      </w:pPr>
      <w:r>
        <w:rPr>
          <w:rFonts w:hint="eastAsia" w:ascii="黑体" w:hAnsi="黑体" w:eastAsia="黑体"/>
          <w:b/>
          <w:bCs/>
          <w:sz w:val="32"/>
          <w:szCs w:val="32"/>
        </w:rPr>
        <w:t>第一部分</w:t>
      </w:r>
      <w:r>
        <w:rPr>
          <w:rFonts w:ascii="黑体" w:hAnsi="黑体" w:eastAsia="黑体"/>
          <w:b/>
          <w:bCs/>
          <w:sz w:val="32"/>
          <w:szCs w:val="32"/>
        </w:rPr>
        <w:t>:</w:t>
      </w:r>
      <w:r>
        <w:rPr>
          <w:rFonts w:hint="eastAsia" w:ascii="黑体" w:hAnsi="黑体" w:eastAsia="黑体"/>
          <w:b/>
          <w:bCs/>
          <w:sz w:val="32"/>
          <w:szCs w:val="32"/>
        </w:rPr>
        <w:t>单位职责及机构设置情况</w:t>
      </w:r>
    </w:p>
    <w:p>
      <w:pPr>
        <w:numPr>
          <w:ilvl w:val="0"/>
          <w:numId w:val="1"/>
        </w:numPr>
        <w:ind w:firstLine="643" w:firstLineChars="200"/>
        <w:rPr>
          <w:rFonts w:ascii="楷体" w:hAnsi="楷体" w:eastAsia="楷体" w:cs="楷体"/>
          <w:b/>
          <w:sz w:val="32"/>
          <w:szCs w:val="32"/>
        </w:rPr>
      </w:pPr>
      <w:r>
        <w:rPr>
          <w:rFonts w:hint="eastAsia" w:ascii="楷体" w:hAnsi="楷体" w:eastAsia="楷体" w:cs="楷体"/>
          <w:b/>
          <w:sz w:val="32"/>
          <w:szCs w:val="32"/>
        </w:rPr>
        <w:t>单位职责</w:t>
      </w:r>
    </w:p>
    <w:p>
      <w:pPr>
        <w:ind w:firstLine="640" w:firstLineChars="200"/>
        <w:rPr>
          <w:rFonts w:ascii="仿宋" w:hAnsi="仿宋" w:eastAsia="仿宋"/>
          <w:sz w:val="32"/>
          <w:szCs w:val="32"/>
        </w:rPr>
      </w:pPr>
      <w:r>
        <w:rPr>
          <w:rFonts w:ascii="仿宋_GB2312" w:hAnsi="宋体" w:eastAsia="仿宋_GB2312" w:cs="仿宋_GB2312"/>
          <w:sz w:val="32"/>
          <w:szCs w:val="32"/>
        </w:rPr>
        <w:t>贯彻执行党和国家的教育方针、政策和有关法律、法规</w:t>
      </w:r>
      <w:r>
        <w:rPr>
          <w:rFonts w:hint="eastAsia" w:ascii="仿宋" w:hAnsi="仿宋" w:eastAsia="仿宋"/>
          <w:sz w:val="32"/>
          <w:szCs w:val="32"/>
        </w:rPr>
        <w:t>，指导和监督全区各级各类学校执行。</w:t>
      </w:r>
    </w:p>
    <w:p>
      <w:pPr>
        <w:ind w:firstLine="640" w:firstLineChars="200"/>
        <w:rPr>
          <w:rFonts w:ascii="仿宋" w:hAnsi="仿宋" w:eastAsia="仿宋"/>
          <w:sz w:val="32"/>
          <w:szCs w:val="32"/>
        </w:rPr>
      </w:pPr>
      <w:r>
        <w:rPr>
          <w:rFonts w:hint="eastAsia" w:ascii="仿宋" w:hAnsi="仿宋" w:eastAsia="仿宋"/>
          <w:sz w:val="32"/>
          <w:szCs w:val="32"/>
        </w:rPr>
        <w:t>其主要职责：</w:t>
      </w:r>
    </w:p>
    <w:p>
      <w:pPr>
        <w:ind w:firstLine="320" w:firstLineChars="100"/>
        <w:rPr>
          <w:rFonts w:ascii="仿宋" w:hAnsi="仿宋" w:eastAsia="仿宋"/>
          <w:kern w:val="0"/>
          <w:sz w:val="32"/>
          <w:szCs w:val="32"/>
        </w:rPr>
      </w:pPr>
      <w:r>
        <w:rPr>
          <w:rFonts w:hint="eastAsia" w:ascii="仿宋" w:hAnsi="仿宋" w:eastAsia="仿宋"/>
          <w:kern w:val="0"/>
          <w:sz w:val="32"/>
          <w:szCs w:val="32"/>
        </w:rPr>
        <w:t>（一）</w:t>
      </w:r>
      <w:r>
        <w:rPr>
          <w:rFonts w:ascii="仿宋" w:hAnsi="仿宋" w:eastAsia="仿宋"/>
          <w:kern w:val="0"/>
          <w:sz w:val="32"/>
          <w:szCs w:val="32"/>
        </w:rPr>
        <w:t>制定教育事业发展规划及年度工作计划，指导和宏观管理全</w:t>
      </w:r>
      <w:r>
        <w:rPr>
          <w:rFonts w:hint="eastAsia" w:ascii="仿宋" w:hAnsi="仿宋" w:eastAsia="仿宋"/>
          <w:kern w:val="0"/>
          <w:sz w:val="32"/>
          <w:szCs w:val="32"/>
        </w:rPr>
        <w:t>区</w:t>
      </w:r>
      <w:r>
        <w:rPr>
          <w:rFonts w:ascii="仿宋" w:hAnsi="仿宋" w:eastAsia="仿宋"/>
          <w:kern w:val="0"/>
          <w:sz w:val="32"/>
          <w:szCs w:val="32"/>
        </w:rPr>
        <w:t>各级各类教育贯彻党的教育方针，推进</w:t>
      </w:r>
      <w:r>
        <w:rPr>
          <w:rFonts w:hint="eastAsia" w:ascii="仿宋" w:hAnsi="仿宋" w:eastAsia="仿宋"/>
          <w:kern w:val="0"/>
          <w:sz w:val="32"/>
          <w:szCs w:val="32"/>
        </w:rPr>
        <w:t>学生</w:t>
      </w:r>
      <w:r>
        <w:rPr>
          <w:rFonts w:ascii="仿宋" w:hAnsi="仿宋" w:eastAsia="仿宋"/>
          <w:kern w:val="0"/>
          <w:sz w:val="32"/>
          <w:szCs w:val="32"/>
        </w:rPr>
        <w:t>素质教育</w:t>
      </w:r>
      <w:r>
        <w:rPr>
          <w:rFonts w:hint="eastAsia" w:ascii="仿宋" w:hAnsi="仿宋" w:eastAsia="仿宋"/>
          <w:kern w:val="0"/>
          <w:sz w:val="32"/>
          <w:szCs w:val="32"/>
        </w:rPr>
        <w:t>提升、学校优质均衡发展</w:t>
      </w:r>
      <w:r>
        <w:rPr>
          <w:rFonts w:ascii="仿宋" w:hAnsi="仿宋" w:eastAsia="仿宋"/>
          <w:kern w:val="0"/>
          <w:sz w:val="32"/>
          <w:szCs w:val="32"/>
        </w:rPr>
        <w:t>。指导各级各类学校教育教学改革，负责教育基本信息的统计、分析和发布。</w:t>
      </w:r>
    </w:p>
    <w:p>
      <w:pPr>
        <w:ind w:firstLine="320" w:firstLineChars="100"/>
        <w:rPr>
          <w:rFonts w:ascii="仿宋" w:hAnsi="仿宋" w:eastAsia="仿宋"/>
          <w:kern w:val="0"/>
          <w:sz w:val="32"/>
          <w:szCs w:val="32"/>
        </w:rPr>
      </w:pPr>
      <w:r>
        <w:rPr>
          <w:rFonts w:ascii="仿宋" w:hAnsi="仿宋" w:eastAsia="仿宋"/>
          <w:kern w:val="0"/>
          <w:sz w:val="32"/>
          <w:szCs w:val="32"/>
        </w:rPr>
        <w:t>（二）负责普通高中、义务教育、幼儿教育和特殊教育的指导与协调。负责教育督导工作；负责各级各类教育评估、检查和验收工作。</w:t>
      </w:r>
    </w:p>
    <w:p>
      <w:pPr>
        <w:ind w:firstLine="320" w:firstLineChars="100"/>
        <w:rPr>
          <w:rFonts w:ascii="仿宋" w:hAnsi="仿宋" w:eastAsia="仿宋"/>
          <w:sz w:val="32"/>
          <w:szCs w:val="32"/>
        </w:rPr>
      </w:pPr>
      <w:r>
        <w:rPr>
          <w:rFonts w:hint="eastAsia" w:ascii="仿宋" w:hAnsi="仿宋" w:eastAsia="仿宋"/>
          <w:sz w:val="32"/>
          <w:szCs w:val="32"/>
          <w:shd w:val="clear" w:color="auto" w:fill="FFFFFF"/>
        </w:rPr>
        <w:t>（三）负责全区教职员工的管理工作；负责教师资格认定工作。</w:t>
      </w:r>
      <w:r>
        <w:rPr>
          <w:rFonts w:hint="eastAsia" w:eastAsia="仿宋"/>
          <w:sz w:val="32"/>
          <w:szCs w:val="32"/>
          <w:shd w:val="clear" w:color="auto" w:fill="FFFFFF"/>
        </w:rPr>
        <w:t> </w:t>
      </w:r>
    </w:p>
    <w:p>
      <w:pPr>
        <w:ind w:firstLine="320" w:firstLineChars="100"/>
        <w:rPr>
          <w:rFonts w:ascii="仿宋" w:hAnsi="仿宋" w:eastAsia="仿宋"/>
          <w:sz w:val="32"/>
          <w:szCs w:val="32"/>
        </w:rPr>
      </w:pPr>
      <w:r>
        <w:rPr>
          <w:rFonts w:hint="eastAsia" w:ascii="仿宋" w:hAnsi="仿宋" w:eastAsia="仿宋"/>
          <w:sz w:val="32"/>
          <w:szCs w:val="32"/>
          <w:shd w:val="clear" w:color="auto" w:fill="FFFFFF"/>
        </w:rPr>
        <w:t>（四）负责教育系统安全、消防、环境综合治理、防毒禁毒等工作。</w:t>
      </w:r>
      <w:r>
        <w:rPr>
          <w:rFonts w:hint="eastAsia" w:eastAsia="仿宋"/>
          <w:sz w:val="32"/>
          <w:szCs w:val="32"/>
          <w:shd w:val="clear" w:color="auto" w:fill="FFFFFF"/>
        </w:rPr>
        <w:t> </w:t>
      </w:r>
    </w:p>
    <w:p>
      <w:pPr>
        <w:ind w:firstLine="320" w:firstLineChars="100"/>
        <w:rPr>
          <w:rFonts w:ascii="宋体" w:cs="宋体"/>
          <w:b/>
          <w:sz w:val="32"/>
          <w:szCs w:val="32"/>
        </w:rPr>
      </w:pPr>
      <w:r>
        <w:rPr>
          <w:rFonts w:hint="eastAsia" w:ascii="仿宋" w:hAnsi="仿宋" w:eastAsia="仿宋"/>
          <w:sz w:val="32"/>
          <w:szCs w:val="32"/>
          <w:shd w:val="clear" w:color="auto" w:fill="FFFFFF"/>
        </w:rPr>
        <w:t>（五）指导、监督学校教育经费预算的编制和经费使用，做好发展我区教育事业的计划、采购及审计等工作</w:t>
      </w:r>
      <w:r>
        <w:rPr>
          <w:rFonts w:hint="eastAsia"/>
          <w:sz w:val="32"/>
          <w:szCs w:val="32"/>
          <w:shd w:val="clear" w:color="auto" w:fill="FFFFFF"/>
        </w:rPr>
        <w:t>。</w:t>
      </w:r>
    </w:p>
    <w:p>
      <w:pPr>
        <w:numPr>
          <w:ilvl w:val="0"/>
          <w:numId w:val="1"/>
        </w:num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机构设置</w:t>
      </w:r>
    </w:p>
    <w:p>
      <w:pPr>
        <w:spacing w:line="600" w:lineRule="exact"/>
        <w:rPr>
          <w:rFonts w:ascii="楷体" w:hAnsi="楷体" w:eastAsia="楷体" w:cs="楷体"/>
          <w:b/>
          <w:bCs/>
          <w:sz w:val="15"/>
          <w:szCs w:val="15"/>
        </w:rPr>
      </w:pPr>
    </w:p>
    <w:tbl>
      <w:tblPr>
        <w:tblStyle w:val="5"/>
        <w:tblW w:w="8845" w:type="dxa"/>
        <w:jc w:val="center"/>
        <w:tblLayout w:type="fixed"/>
        <w:tblCellMar>
          <w:top w:w="0" w:type="dxa"/>
          <w:left w:w="108" w:type="dxa"/>
          <w:bottom w:w="0" w:type="dxa"/>
          <w:right w:w="108" w:type="dxa"/>
        </w:tblCellMar>
      </w:tblPr>
      <w:tblGrid>
        <w:gridCol w:w="834"/>
        <w:gridCol w:w="2566"/>
        <w:gridCol w:w="1650"/>
        <w:gridCol w:w="1905"/>
        <w:gridCol w:w="1890"/>
      </w:tblGrid>
      <w:tr>
        <w:tblPrEx>
          <w:tblCellMar>
            <w:top w:w="0" w:type="dxa"/>
            <w:left w:w="108" w:type="dxa"/>
            <w:bottom w:w="0" w:type="dxa"/>
            <w:right w:w="108" w:type="dxa"/>
          </w:tblCellMar>
        </w:tblPrEx>
        <w:trPr>
          <w:trHeight w:val="624" w:hRule="atLeast"/>
          <w:jc w:val="center"/>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经费保障形式</w:t>
            </w:r>
          </w:p>
        </w:tc>
      </w:tr>
      <w:tr>
        <w:tblPrEx>
          <w:tblCellMar>
            <w:top w:w="0" w:type="dxa"/>
            <w:left w:w="108" w:type="dxa"/>
            <w:bottom w:w="0" w:type="dxa"/>
            <w:right w:w="108" w:type="dxa"/>
          </w:tblCellMar>
        </w:tblPrEx>
        <w:trPr>
          <w:trHeight w:val="62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624"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白沟新城白沟镇教育办公室</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未定行政级别</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财政性基金基本保证</w:t>
            </w:r>
          </w:p>
        </w:tc>
      </w:tr>
    </w:tbl>
    <w:p>
      <w:pPr>
        <w:jc w:val="center"/>
        <w:outlineLvl w:val="0"/>
        <w:rPr>
          <w:rFonts w:ascii="黑体" w:hAnsi="黑体" w:eastAsia="黑体"/>
          <w:b/>
          <w:sz w:val="32"/>
        </w:rPr>
      </w:pPr>
    </w:p>
    <w:p>
      <w:pPr>
        <w:spacing w:line="520" w:lineRule="exact"/>
        <w:jc w:val="center"/>
        <w:rPr>
          <w:rFonts w:ascii="黑体" w:hAnsi="黑体" w:eastAsia="黑体"/>
          <w:b/>
          <w:sz w:val="10"/>
          <w:szCs w:val="10"/>
        </w:rPr>
      </w:pPr>
      <w:r>
        <w:rPr>
          <w:rFonts w:hint="eastAsia" w:ascii="黑体" w:hAnsi="黑体" w:eastAsia="黑体"/>
          <w:b/>
          <w:sz w:val="32"/>
        </w:rPr>
        <w:t>第二部分：</w:t>
      </w:r>
      <w:r>
        <w:rPr>
          <w:rFonts w:hint="eastAsia" w:ascii="黑体" w:hAnsi="黑体" w:eastAsia="黑体"/>
          <w:b/>
          <w:sz w:val="32"/>
          <w:szCs w:val="32"/>
        </w:rPr>
        <w:t>单位预算安排的总体情况</w:t>
      </w:r>
    </w:p>
    <w:p>
      <w:pPr>
        <w:spacing w:line="520" w:lineRule="exact"/>
        <w:jc w:val="center"/>
        <w:rPr>
          <w:rFonts w:ascii="黑体" w:hAnsi="黑体" w:eastAsia="黑体"/>
          <w:b/>
          <w:sz w:val="10"/>
          <w:szCs w:val="10"/>
        </w:rPr>
      </w:pPr>
    </w:p>
    <w:p>
      <w:pPr>
        <w:numPr>
          <w:ilvl w:val="0"/>
          <w:numId w:val="2"/>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年年初单位收入预算总额 18043.5213万元。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其中：人员经费预算3894.6113万元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日常公用经费预算94.57万元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 14054.34 万元</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年单位支出安排预算总额 18043.5213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基本支出3989.1813万元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rPr>
        <w:t>3894.6113 万元</w:t>
      </w:r>
    </w:p>
    <w:p>
      <w:pPr>
        <w:spacing w:line="520" w:lineRule="exact"/>
        <w:ind w:firstLine="1600" w:firstLineChars="5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rPr>
        <w:t>94.57万元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项目支出14054.34万元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其中：本级支出18043.5213万元</w:t>
      </w:r>
    </w:p>
    <w:p>
      <w:pPr>
        <w:tabs>
          <w:tab w:val="left" w:pos="916"/>
        </w:tabs>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3、与上年增减情况</w:t>
      </w:r>
    </w:p>
    <w:p>
      <w:pPr>
        <w:tabs>
          <w:tab w:val="left" w:pos="916"/>
        </w:tabs>
        <w:spacing w:line="560" w:lineRule="exact"/>
        <w:ind w:firstLine="648"/>
        <w:jc w:val="left"/>
        <w:rPr>
          <w:rFonts w:ascii="仿宋" w:hAnsi="仿宋" w:eastAsia="仿宋"/>
          <w:sz w:val="32"/>
          <w:szCs w:val="32"/>
        </w:rPr>
      </w:pPr>
      <w:r>
        <w:rPr>
          <w:rFonts w:hint="eastAsia" w:ascii="仿宋" w:hAnsi="仿宋" w:eastAsia="仿宋"/>
          <w:sz w:val="32"/>
          <w:szCs w:val="32"/>
        </w:rPr>
        <w:t>本年度预算收支安排18043.5213 万元，较上年增加1097.0113万元。增减原因：增加了富民大街九年一贯制学校建设工程。</w:t>
      </w:r>
    </w:p>
    <w:p>
      <w:pPr>
        <w:autoSpaceDE w:val="0"/>
        <w:autoSpaceDN w:val="0"/>
        <w:adjustRightInd w:val="0"/>
        <w:spacing w:line="600" w:lineRule="exact"/>
        <w:jc w:val="center"/>
        <w:rPr>
          <w:rFonts w:ascii="黑体" w:hAnsi="黑体" w:eastAsia="黑体" w:cs="仿宋"/>
          <w:b/>
          <w:sz w:val="10"/>
          <w:szCs w:val="10"/>
        </w:rPr>
      </w:pPr>
      <w:r>
        <w:rPr>
          <w:rFonts w:hint="eastAsia" w:ascii="黑体" w:hAnsi="黑体" w:eastAsia="黑体" w:cs="仿宋"/>
          <w:b/>
          <w:sz w:val="32"/>
          <w:szCs w:val="32"/>
        </w:rPr>
        <w:t>第三部分：机关运行经费安排情况</w:t>
      </w:r>
    </w:p>
    <w:p>
      <w:pPr>
        <w:ind w:firstLine="640" w:firstLineChars="200"/>
        <w:rPr>
          <w:rFonts w:ascii="仿宋" w:hAnsi="仿宋" w:eastAsia="仿宋" w:cs="宋体"/>
          <w:sz w:val="32"/>
          <w:szCs w:val="32"/>
          <w:lang w:val="zh-CN"/>
        </w:rPr>
      </w:pPr>
      <w:r>
        <w:rPr>
          <w:rFonts w:hint="eastAsia" w:ascii="仿宋" w:hAnsi="仿宋" w:eastAsia="仿宋" w:cs="宋体"/>
          <w:sz w:val="32"/>
          <w:szCs w:val="32"/>
        </w:rPr>
        <w:t>我单位运行经费安排资金94.57万元，其中办公费4.6万元，差旅费1.4万元，维修（护）费0.5万元，会议费0.26万元，离退休干部经费11.99万元，培训费0.26万元，工会经费31.65万元，福利费43.78万元，党组织活动经费0.13万元。</w:t>
      </w:r>
    </w:p>
    <w:p>
      <w:pPr>
        <w:autoSpaceDE w:val="0"/>
        <w:autoSpaceDN w:val="0"/>
        <w:adjustRightInd w:val="0"/>
        <w:spacing w:line="600" w:lineRule="exact"/>
        <w:jc w:val="center"/>
        <w:rPr>
          <w:rFonts w:ascii="黑体" w:hAnsi="黑体" w:eastAsia="黑体" w:cs="仿宋"/>
          <w:b/>
          <w:sz w:val="10"/>
          <w:szCs w:val="10"/>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5"/>
        <w:tblpPr w:leftFromText="180" w:rightFromText="180" w:vertAnchor="text" w:horzAnchor="page" w:tblpXSpec="center" w:tblpY="742"/>
        <w:tblOverlap w:val="never"/>
        <w:tblW w:w="12198" w:type="dxa"/>
        <w:jc w:val="center"/>
        <w:tblLayout w:type="fixed"/>
        <w:tblCellMar>
          <w:top w:w="0" w:type="dxa"/>
          <w:left w:w="108" w:type="dxa"/>
          <w:bottom w:w="0" w:type="dxa"/>
          <w:right w:w="108" w:type="dxa"/>
        </w:tblCellMar>
      </w:tblPr>
      <w:tblGrid>
        <w:gridCol w:w="2514"/>
        <w:gridCol w:w="2130"/>
        <w:gridCol w:w="1710"/>
        <w:gridCol w:w="1500"/>
        <w:gridCol w:w="4344"/>
      </w:tblGrid>
      <w:tr>
        <w:tblPrEx>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pPr>
              <w:widowControl/>
              <w:spacing w:line="520" w:lineRule="exact"/>
              <w:ind w:firstLine="643" w:firstLineChars="200"/>
              <w:jc w:val="center"/>
              <w:rPr>
                <w:rFonts w:ascii="宋体" w:hAnsi="宋体" w:cs="宋体"/>
                <w:b/>
                <w:kern w:val="0"/>
                <w:sz w:val="32"/>
                <w:szCs w:val="32"/>
              </w:rPr>
            </w:pPr>
            <w:r>
              <w:rPr>
                <w:rFonts w:hint="eastAsia" w:ascii="宋体" w:hAnsi="宋体"/>
                <w:b/>
                <w:sz w:val="32"/>
                <w:szCs w:val="32"/>
              </w:rPr>
              <w:t>“三公”经费预算情况及增减变化原因</w:t>
            </w:r>
          </w:p>
        </w:tc>
      </w:tr>
      <w:tr>
        <w:tblPrEx>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pPr>
              <w:widowControl/>
              <w:jc w:val="left"/>
              <w:rPr>
                <w:rFonts w:ascii="宋体" w:cs="宋体"/>
                <w:kern w:val="0"/>
                <w:sz w:val="24"/>
              </w:rPr>
            </w:pPr>
          </w:p>
        </w:tc>
        <w:tc>
          <w:tcPr>
            <w:tcW w:w="2130" w:type="dxa"/>
            <w:tcBorders>
              <w:top w:val="nil"/>
              <w:left w:val="nil"/>
              <w:bottom w:val="nil"/>
              <w:right w:val="nil"/>
            </w:tcBorders>
            <w:vAlign w:val="center"/>
          </w:tcPr>
          <w:p>
            <w:pPr>
              <w:widowControl/>
              <w:jc w:val="left"/>
              <w:rPr>
                <w:rFonts w:ascii="宋体" w:cs="宋体"/>
                <w:kern w:val="0"/>
                <w:sz w:val="24"/>
              </w:rPr>
            </w:pPr>
          </w:p>
        </w:tc>
        <w:tc>
          <w:tcPr>
            <w:tcW w:w="1710" w:type="dxa"/>
            <w:tcBorders>
              <w:top w:val="nil"/>
              <w:left w:val="nil"/>
              <w:bottom w:val="nil"/>
              <w:right w:val="nil"/>
            </w:tcBorders>
            <w:vAlign w:val="center"/>
          </w:tcPr>
          <w:p>
            <w:pPr>
              <w:widowControl/>
              <w:jc w:val="left"/>
              <w:rPr>
                <w:rFonts w:ascii="宋体" w:hAnsi="宋体" w:cs="宋体"/>
                <w:kern w:val="0"/>
                <w:sz w:val="24"/>
              </w:rPr>
            </w:pPr>
          </w:p>
        </w:tc>
        <w:tc>
          <w:tcPr>
            <w:tcW w:w="1500" w:type="dxa"/>
            <w:tcBorders>
              <w:top w:val="nil"/>
              <w:left w:val="nil"/>
              <w:bottom w:val="nil"/>
              <w:right w:val="nil"/>
            </w:tcBorders>
            <w:vAlign w:val="center"/>
          </w:tcPr>
          <w:p>
            <w:pPr>
              <w:widowControl/>
              <w:jc w:val="left"/>
              <w:rPr>
                <w:rFonts w:ascii="宋体" w:hAnsi="宋体" w:cs="宋体"/>
                <w:kern w:val="0"/>
                <w:sz w:val="24"/>
              </w:rPr>
            </w:pPr>
          </w:p>
        </w:tc>
        <w:tc>
          <w:tcPr>
            <w:tcW w:w="4344" w:type="dxa"/>
            <w:tcBorders>
              <w:top w:val="nil"/>
              <w:left w:val="nil"/>
              <w:bottom w:val="nil"/>
              <w:right w:val="nil"/>
            </w:tcBorders>
            <w:vAlign w:val="center"/>
          </w:tcPr>
          <w:p>
            <w:pPr>
              <w:widowControl/>
              <w:jc w:val="right"/>
              <w:rPr>
                <w:rFonts w:ascii="宋体" w:hAnsi="宋体" w:cs="宋体"/>
                <w:b/>
                <w:kern w:val="0"/>
                <w:sz w:val="24"/>
              </w:rPr>
            </w:pPr>
            <w:r>
              <w:rPr>
                <w:rFonts w:hint="eastAsia" w:ascii="宋体" w:hAnsi="宋体" w:cs="宋体"/>
                <w:b/>
                <w:kern w:val="0"/>
                <w:sz w:val="24"/>
              </w:rPr>
              <w:t>单位：万元</w:t>
            </w:r>
          </w:p>
        </w:tc>
      </w:tr>
      <w:tr>
        <w:tblPrEx>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ascii="宋体" w:hAnsi="宋体" w:cs="宋体"/>
                <w:b/>
                <w:kern w:val="0"/>
                <w:sz w:val="24"/>
              </w:rPr>
              <w:t>20</w:t>
            </w:r>
            <w:r>
              <w:rPr>
                <w:rFonts w:hint="eastAsia" w:ascii="宋体" w:hAnsi="宋体" w:cs="宋体"/>
                <w:b/>
                <w:kern w:val="0"/>
                <w:sz w:val="24"/>
              </w:rPr>
              <w:t>20年度预算</w:t>
            </w:r>
          </w:p>
        </w:tc>
        <w:tc>
          <w:tcPr>
            <w:tcW w:w="1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2021年度预算</w:t>
            </w:r>
          </w:p>
        </w:tc>
        <w:tc>
          <w:tcPr>
            <w:tcW w:w="1500" w:type="dxa"/>
            <w:tcBorders>
              <w:top w:val="single" w:color="auto" w:sz="4" w:space="0"/>
              <w:left w:val="nil"/>
              <w:bottom w:val="single" w:color="auto" w:sz="4" w:space="0"/>
              <w:right w:val="single" w:color="auto" w:sz="4" w:space="0"/>
            </w:tcBorders>
            <w:vAlign w:val="center"/>
          </w:tcPr>
          <w:p>
            <w:pPr>
              <w:widowControl/>
              <w:ind w:firstLine="241" w:firstLineChars="100"/>
              <w:rPr>
                <w:rFonts w:ascii="宋体" w:hAnsi="宋体" w:cs="宋体"/>
                <w:b/>
                <w:kern w:val="0"/>
                <w:sz w:val="24"/>
              </w:rPr>
            </w:pPr>
            <w:r>
              <w:rPr>
                <w:rFonts w:hint="eastAsia" w:ascii="宋体" w:hAnsi="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增减变化原因</w:t>
            </w:r>
          </w:p>
        </w:tc>
      </w:tr>
      <w:tr>
        <w:tblPrEx>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因公出国经费</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 xml:space="preserve"> </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4344" w:type="dxa"/>
            <w:tcBorders>
              <w:top w:val="nil"/>
              <w:left w:val="nil"/>
              <w:bottom w:val="single" w:color="auto" w:sz="4" w:space="0"/>
              <w:right w:val="single" w:color="auto" w:sz="4" w:space="0"/>
            </w:tcBorders>
            <w:vAlign w:val="center"/>
          </w:tcPr>
          <w:p>
            <w:pPr>
              <w:widowControl/>
              <w:jc w:val="left"/>
              <w:rPr>
                <w:rFonts w:ascii="宋体" w:hAnsi="宋体" w:cs="宋体"/>
                <w:bCs/>
                <w:kern w:val="0"/>
                <w:sz w:val="24"/>
              </w:rPr>
            </w:pPr>
          </w:p>
        </w:tc>
      </w:tr>
      <w:tr>
        <w:tblPrEx>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公务用车购置经费</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71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4344" w:type="dxa"/>
            <w:tcBorders>
              <w:top w:val="nil"/>
              <w:left w:val="nil"/>
              <w:bottom w:val="single" w:color="auto" w:sz="4" w:space="0"/>
              <w:right w:val="single" w:color="auto" w:sz="4" w:space="0"/>
            </w:tcBorders>
            <w:vAlign w:val="center"/>
          </w:tcPr>
          <w:p>
            <w:pPr>
              <w:widowControl/>
              <w:jc w:val="left"/>
              <w:rPr>
                <w:rFonts w:ascii="宋体" w:hAnsi="宋体" w:cs="宋体"/>
                <w:bCs/>
                <w:kern w:val="0"/>
                <w:sz w:val="24"/>
              </w:rPr>
            </w:pPr>
          </w:p>
        </w:tc>
      </w:tr>
      <w:tr>
        <w:tblPrEx>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公务用车运行经费</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71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500" w:type="dxa"/>
            <w:tcBorders>
              <w:top w:val="nil"/>
              <w:left w:val="nil"/>
              <w:bottom w:val="single" w:color="auto" w:sz="4" w:space="0"/>
              <w:right w:val="single" w:color="auto" w:sz="4" w:space="0"/>
            </w:tcBorders>
            <w:vAlign w:val="center"/>
          </w:tcPr>
          <w:p>
            <w:pPr>
              <w:widowControl/>
              <w:rPr>
                <w:rFonts w:ascii="宋体" w:hAnsi="宋体" w:cs="宋体"/>
                <w:bCs/>
                <w:kern w:val="0"/>
                <w:sz w:val="24"/>
              </w:rPr>
            </w:pPr>
          </w:p>
        </w:tc>
        <w:tc>
          <w:tcPr>
            <w:tcW w:w="4344" w:type="dxa"/>
            <w:tcBorders>
              <w:top w:val="nil"/>
              <w:left w:val="nil"/>
              <w:bottom w:val="single" w:color="auto" w:sz="4" w:space="0"/>
              <w:right w:val="single" w:color="auto" w:sz="4" w:space="0"/>
            </w:tcBorders>
            <w:vAlign w:val="center"/>
          </w:tcPr>
          <w:p>
            <w:pPr>
              <w:widowControl/>
              <w:jc w:val="left"/>
              <w:rPr>
                <w:rFonts w:ascii="宋体" w:hAnsi="宋体" w:cs="宋体"/>
                <w:bCs/>
                <w:kern w:val="0"/>
                <w:sz w:val="24"/>
              </w:rPr>
            </w:pPr>
          </w:p>
        </w:tc>
      </w:tr>
      <w:tr>
        <w:tblPrEx>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公务接待费</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71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4344" w:type="dxa"/>
            <w:tcBorders>
              <w:top w:val="nil"/>
              <w:left w:val="nil"/>
              <w:bottom w:val="single" w:color="auto" w:sz="4" w:space="0"/>
              <w:right w:val="single" w:color="auto" w:sz="4" w:space="0"/>
            </w:tcBorders>
            <w:vAlign w:val="center"/>
          </w:tcPr>
          <w:p>
            <w:pPr>
              <w:widowControl/>
              <w:jc w:val="left"/>
              <w:rPr>
                <w:rFonts w:ascii="宋体" w:hAnsi="宋体" w:cs="宋体"/>
                <w:bCs/>
                <w:kern w:val="0"/>
                <w:sz w:val="24"/>
              </w:rPr>
            </w:pPr>
          </w:p>
        </w:tc>
      </w:tr>
      <w:tr>
        <w:tblPrEx>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合计</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71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4344" w:type="dxa"/>
            <w:tcBorders>
              <w:top w:val="nil"/>
              <w:left w:val="nil"/>
              <w:bottom w:val="single" w:color="auto" w:sz="4" w:space="0"/>
              <w:right w:val="single" w:color="auto" w:sz="4" w:space="0"/>
            </w:tcBorders>
            <w:vAlign w:val="center"/>
          </w:tcPr>
          <w:p>
            <w:pPr>
              <w:widowControl/>
              <w:jc w:val="left"/>
              <w:rPr>
                <w:rFonts w:ascii="宋体" w:hAnsi="宋体" w:cs="宋体"/>
                <w:bCs/>
                <w:kern w:val="0"/>
                <w:sz w:val="24"/>
              </w:rPr>
            </w:pPr>
            <w:r>
              <w:rPr>
                <w:rFonts w:ascii="宋体" w:hAnsi="宋体" w:cs="宋体"/>
                <w:bCs/>
                <w:kern w:val="0"/>
                <w:sz w:val="24"/>
              </w:rPr>
              <w:t xml:space="preserve"> </w:t>
            </w:r>
          </w:p>
        </w:tc>
      </w:tr>
    </w:tbl>
    <w:p>
      <w:pPr>
        <w:ind w:firstLine="2240" w:firstLineChars="700"/>
        <w:outlineLvl w:val="0"/>
        <w:rPr>
          <w:rFonts w:ascii="仿宋" w:hAnsi="仿宋" w:eastAsia="仿宋"/>
          <w:bCs/>
          <w:sz w:val="32"/>
        </w:rPr>
      </w:pPr>
    </w:p>
    <w:p>
      <w:pPr>
        <w:ind w:firstLine="2240" w:firstLineChars="700"/>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pPr>
        <w:jc w:val="center"/>
        <w:outlineLvl w:val="0"/>
        <w:rPr>
          <w:rFonts w:ascii="黑体" w:hAnsi="黑体" w:eastAsia="黑体"/>
          <w:b/>
          <w:sz w:val="32"/>
          <w:szCs w:val="32"/>
        </w:rPr>
      </w:pPr>
    </w:p>
    <w:p>
      <w:pPr>
        <w:jc w:val="center"/>
        <w:outlineLvl w:val="0"/>
        <w:rPr>
          <w:rFonts w:ascii="黑体" w:hAnsi="黑体" w:eastAsia="黑体"/>
          <w:b/>
          <w:sz w:val="32"/>
          <w:szCs w:val="32"/>
        </w:rPr>
      </w:pPr>
    </w:p>
    <w:p>
      <w:pPr>
        <w:jc w:val="center"/>
        <w:outlineLvl w:val="0"/>
        <w:rPr>
          <w:rFonts w:ascii="黑体" w:hAnsi="黑体" w:eastAsia="黑体"/>
          <w:b/>
          <w:sz w:val="32"/>
          <w:szCs w:val="32"/>
        </w:rPr>
      </w:pPr>
    </w:p>
    <w:p>
      <w:pPr>
        <w:jc w:val="center"/>
        <w:outlineLvl w:val="0"/>
        <w:rPr>
          <w:rFonts w:ascii="黑体" w:hAnsi="黑体" w:eastAsia="黑体"/>
          <w:b/>
          <w:sz w:val="10"/>
          <w:szCs w:val="10"/>
        </w:rPr>
      </w:pPr>
      <w:r>
        <w:rPr>
          <w:rFonts w:hint="eastAsia" w:ascii="黑体" w:hAnsi="黑体" w:eastAsia="黑体"/>
          <w:b/>
          <w:sz w:val="32"/>
          <w:szCs w:val="32"/>
        </w:rPr>
        <w:t>第五部分：绩效预算信息</w:t>
      </w:r>
    </w:p>
    <w:p>
      <w:pPr>
        <w:pStyle w:val="16"/>
        <w:numPr>
          <w:ilvl w:val="0"/>
          <w:numId w:val="3"/>
        </w:numPr>
        <w:spacing w:line="520" w:lineRule="exact"/>
        <w:ind w:firstLineChars="0"/>
        <w:jc w:val="left"/>
        <w:rPr>
          <w:rFonts w:ascii="黑体" w:hAnsi="黑体" w:eastAsia="黑体"/>
          <w:b/>
          <w:sz w:val="32"/>
          <w:szCs w:val="32"/>
        </w:rPr>
      </w:pPr>
      <w:r>
        <w:rPr>
          <w:rFonts w:hint="eastAsia" w:ascii="黑体" w:hAnsi="黑体" w:eastAsia="黑体"/>
          <w:b/>
          <w:sz w:val="32"/>
          <w:szCs w:val="32"/>
        </w:rPr>
        <w:t>总体绩效目标</w:t>
      </w:r>
    </w:p>
    <w:p>
      <w:pPr>
        <w:ind w:firstLine="640" w:firstLineChars="200"/>
        <w:rPr>
          <w:rFonts w:ascii="仿宋" w:hAnsi="仿宋" w:eastAsia="仿宋" w:cs="仿宋"/>
          <w:sz w:val="32"/>
          <w:szCs w:val="32"/>
        </w:rPr>
      </w:pPr>
      <w:r>
        <w:rPr>
          <w:rFonts w:hint="eastAsia" w:ascii="仿宋" w:hAnsi="仿宋" w:eastAsia="仿宋" w:cs="仿宋"/>
          <w:sz w:val="32"/>
          <w:szCs w:val="32"/>
        </w:rPr>
        <w:t>通过本年度项目的实施，不断改善全区中小学办学条件，保障家庭经济困难学生顺利入学，完善与规范升学考试管理，积极发展全区教育教学水平，促进全区教育事业发展。做好教育经费筹措、教育拨款、教育基建投资、教育收费的政策、规定等工作。推进全区义务教育均衡发展，促进教育公平。指导全区中小学、幼儿园教学改革、教育科研、教育信息化、德育、体育、美育、劳动教育、卫生健康和国防教育工作；督查、指导、协调全区教育系统安全稳定工作和防范、处理突发应急事件，负责全区教育系统安全稳定工作。</w:t>
      </w:r>
    </w:p>
    <w:p>
      <w:pPr>
        <w:ind w:firstLine="643" w:firstLineChars="200"/>
        <w:rPr>
          <w:rFonts w:ascii="黑体" w:hAnsi="黑体" w:eastAsia="黑体" w:cs="仿宋"/>
          <w:b/>
          <w:bCs/>
          <w:sz w:val="32"/>
          <w:szCs w:val="32"/>
        </w:rPr>
      </w:pPr>
      <w:r>
        <w:rPr>
          <w:rFonts w:hint="eastAsia" w:ascii="黑体" w:hAnsi="黑体" w:eastAsia="黑体" w:cs="仿宋"/>
          <w:b/>
          <w:bCs/>
          <w:sz w:val="32"/>
          <w:szCs w:val="32"/>
        </w:rPr>
        <w:t>二、分项绩效目标</w:t>
      </w:r>
    </w:p>
    <w:p>
      <w:pPr>
        <w:ind w:firstLine="640" w:firstLineChars="200"/>
        <w:rPr>
          <w:rFonts w:ascii="仿宋" w:hAnsi="仿宋" w:eastAsia="仿宋" w:cs="仿宋"/>
          <w:sz w:val="32"/>
          <w:szCs w:val="32"/>
        </w:rPr>
      </w:pPr>
      <w:r>
        <w:rPr>
          <w:rFonts w:hint="eastAsia" w:ascii="仿宋" w:hAnsi="仿宋" w:eastAsia="仿宋" w:cs="仿宋"/>
          <w:sz w:val="32"/>
          <w:szCs w:val="32"/>
        </w:rPr>
        <w:t>1、学前教育：实施幼儿园晋级升类工作，通过专项资金政府采购为幼儿园补充、配备必要的玩教具、保教和生活设施设备，改善办园条件，提高社会满意度。帮助家庭经济困难儿童、孤儿和残疾儿童接受学前教育。</w:t>
      </w:r>
    </w:p>
    <w:p>
      <w:pPr>
        <w:ind w:firstLine="640" w:firstLineChars="200"/>
        <w:rPr>
          <w:rFonts w:ascii="仿宋" w:hAnsi="仿宋" w:eastAsia="仿宋" w:cs="仿宋"/>
          <w:sz w:val="32"/>
          <w:szCs w:val="32"/>
        </w:rPr>
      </w:pPr>
      <w:r>
        <w:rPr>
          <w:rFonts w:hint="eastAsia" w:ascii="仿宋" w:hAnsi="仿宋" w:eastAsia="仿宋" w:cs="仿宋"/>
          <w:sz w:val="32"/>
          <w:szCs w:val="32"/>
        </w:rPr>
        <w:t>2、义务教育：推进义务教育优质均衡发展，建立中小学校舍安全保障机制，改善薄弱学校办学条件，不断深化教育改革，确保义务教育阶段巩固率。</w:t>
      </w:r>
    </w:p>
    <w:p>
      <w:pPr>
        <w:ind w:firstLine="640" w:firstLineChars="200"/>
        <w:rPr>
          <w:rFonts w:ascii="仿宋" w:hAnsi="仿宋" w:eastAsia="仿宋" w:cs="仿宋"/>
          <w:sz w:val="32"/>
          <w:szCs w:val="32"/>
        </w:rPr>
      </w:pPr>
      <w:r>
        <w:rPr>
          <w:rFonts w:hint="eastAsia" w:ascii="仿宋" w:hAnsi="仿宋" w:eastAsia="仿宋" w:cs="仿宋"/>
          <w:sz w:val="32"/>
          <w:szCs w:val="32"/>
        </w:rPr>
        <w:t>3、普通高中教育：引导学校贯彻落实教育方针，深坚持多样化发展，加强管理，提高质量。改善普通高中办学条件，贯彻河北省高科改革。建立健全普通高中国家助学金制度，确保贫困高中学生顺利完成学业。</w:t>
      </w:r>
    </w:p>
    <w:p>
      <w:pPr>
        <w:ind w:firstLine="640" w:firstLineChars="200"/>
        <w:rPr>
          <w:rFonts w:ascii="仿宋" w:hAnsi="仿宋" w:eastAsia="仿宋" w:cs="仿宋"/>
          <w:sz w:val="32"/>
          <w:szCs w:val="32"/>
        </w:rPr>
      </w:pPr>
      <w:r>
        <w:rPr>
          <w:rFonts w:hint="eastAsia" w:ascii="仿宋" w:hAnsi="仿宋" w:eastAsia="仿宋" w:cs="仿宋"/>
          <w:sz w:val="32"/>
          <w:szCs w:val="32"/>
        </w:rPr>
        <w:t>4、教师队伍建设：负责全区中小学、幼儿园教师队伍建设的中长期规划、监督指导和组织实施，宏观指导中小学、幼儿园教师队伍管理；中小学、幼儿园教师师德师风建设；中小学、幼儿园教师资格认定等相关工作。组织、指导中小学、幼儿园教师继续教育；推进、指导中小学、幼儿园教师专业发展学校建设；特级教师、学课名师、骨干教师等选拔、推荐、考核等相关工作；负责中小学、幼儿园教师队伍建设及教师专业化发展规划。</w:t>
      </w:r>
    </w:p>
    <w:p>
      <w:pPr>
        <w:ind w:firstLine="640" w:firstLineChars="200"/>
        <w:rPr>
          <w:rFonts w:ascii="仿宋" w:hAnsi="仿宋" w:eastAsia="仿宋"/>
          <w:b/>
          <w:bCs/>
          <w:sz w:val="32"/>
          <w:szCs w:val="32"/>
        </w:rPr>
      </w:pPr>
      <w:r>
        <w:rPr>
          <w:rFonts w:hint="eastAsia" w:ascii="仿宋" w:hAnsi="仿宋" w:eastAsia="仿宋" w:cs="仿宋"/>
          <w:sz w:val="32"/>
          <w:szCs w:val="32"/>
        </w:rPr>
        <w:t>5、教育政务管理：负责教育系统综合业务管理和机关综合事务管理。依法行政，构建人民群众满意、勤政廉洁的政府部门；保障工作正常高效运行，相关工作顺利开展。</w:t>
      </w:r>
    </w:p>
    <w:p>
      <w:pPr>
        <w:ind w:firstLine="648"/>
        <w:rPr>
          <w:rFonts w:ascii="楷体" w:hAnsi="楷体" w:eastAsia="楷体" w:cs="楷体"/>
          <w:b/>
          <w:bCs/>
          <w:sz w:val="32"/>
          <w:szCs w:val="32"/>
        </w:rPr>
      </w:pPr>
      <w:r>
        <w:rPr>
          <w:rFonts w:hint="eastAsia" w:ascii="楷体" w:hAnsi="楷体" w:eastAsia="楷体" w:cs="楷体"/>
          <w:b/>
          <w:bCs/>
          <w:sz w:val="32"/>
          <w:szCs w:val="32"/>
        </w:rPr>
        <w:t>二、</w:t>
      </w:r>
      <w:r>
        <w:rPr>
          <w:rFonts w:hint="eastAsia" w:ascii="黑体" w:hAnsi="黑体" w:eastAsia="黑体" w:cs="黑体"/>
          <w:b/>
          <w:sz w:val="32"/>
          <w:szCs w:val="32"/>
        </w:rPr>
        <w:t>部门职责-工作活动绩效目标</w:t>
      </w:r>
    </w:p>
    <w:p>
      <w:pPr>
        <w:widowControl/>
        <w:jc w:val="left"/>
        <w:rPr>
          <w:rFonts w:ascii="楷体" w:hAnsi="楷体" w:eastAsia="楷体" w:cs="楷体"/>
          <w:b/>
          <w:bCs/>
          <w:sz w:val="32"/>
          <w:szCs w:val="32"/>
        </w:rPr>
        <w:sectPr>
          <w:pgSz w:w="16838" w:h="11906" w:orient="landscape"/>
          <w:pgMar w:top="1418" w:right="1758" w:bottom="1418" w:left="1758" w:header="851" w:footer="992" w:gutter="0"/>
          <w:cols w:space="720" w:num="1"/>
          <w:docGrid w:type="lines" w:linePitch="312" w:charSpace="0"/>
        </w:sectPr>
      </w:pPr>
    </w:p>
    <w:p>
      <w:pPr>
        <w:ind w:firstLine="560" w:firstLineChars="200"/>
        <w:jc w:val="left"/>
        <w:rPr>
          <w:rFonts w:hAnsi="宋体"/>
          <w:b/>
          <w:sz w:val="28"/>
        </w:rPr>
      </w:pPr>
      <w:r>
        <w:rPr>
          <w:rFonts w:hint="eastAsia" w:ascii="方正仿宋_GBK" w:eastAsia="方正仿宋_GBK"/>
          <w:b/>
          <w:sz w:val="28"/>
        </w:rPr>
        <w:t>1、离休教师教龄津贴绩效目标表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840" w:firstLineChars="300"/>
        <w:jc w:val="left"/>
        <w:rPr>
          <w:rFonts w:ascii="方正仿宋_GBK" w:eastAsia="方正仿宋_GBK"/>
          <w:b/>
          <w:sz w:val="28"/>
        </w:rPr>
      </w:pPr>
    </w:p>
    <w:p>
      <w:pPr>
        <w:ind w:firstLine="840" w:firstLineChars="300"/>
        <w:jc w:val="left"/>
        <w:rPr>
          <w:rFonts w:hAnsi="宋体"/>
          <w:b/>
          <w:sz w:val="28"/>
        </w:rPr>
      </w:pPr>
      <w:r>
        <w:rPr>
          <w:rFonts w:hint="eastAsia" w:ascii="方正仿宋_GBK" w:eastAsia="方正仿宋_GBK"/>
          <w:b/>
          <w:sz w:val="28"/>
        </w:rPr>
        <w:t>2、幼儿招聘教师资金绩效目标表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jc w:val="left"/>
        <w:rPr>
          <w:rFonts w:ascii="方正仿宋_GBK" w:eastAsia="方正仿宋_GBK"/>
          <w:b/>
          <w:sz w:val="28"/>
        </w:rPr>
      </w:pPr>
    </w:p>
    <w:p>
      <w:pPr>
        <w:jc w:val="left"/>
        <w:rPr>
          <w:rFonts w:ascii="方正仿宋_GBK" w:eastAsia="方正仿宋_GBK"/>
          <w:b/>
          <w:sz w:val="28"/>
        </w:rPr>
      </w:pPr>
    </w:p>
    <w:p>
      <w:pPr>
        <w:ind w:firstLine="280" w:firstLineChars="100"/>
        <w:jc w:val="left"/>
        <w:rPr>
          <w:rFonts w:hAnsi="宋体"/>
          <w:b/>
          <w:sz w:val="28"/>
        </w:rPr>
      </w:pPr>
      <w:r>
        <w:rPr>
          <w:rFonts w:hint="eastAsia" w:ascii="方正仿宋_GBK" w:eastAsia="方正仿宋_GBK"/>
          <w:b/>
          <w:sz w:val="28"/>
        </w:rPr>
        <w:t>3、离休教师医药费绩效目标表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jc w:val="left"/>
        <w:rPr>
          <w:rFonts w:hAnsi="宋体"/>
          <w:b/>
          <w:sz w:val="28"/>
        </w:rPr>
      </w:pPr>
      <w:r>
        <w:rPr>
          <w:rFonts w:hint="eastAsia" w:ascii="方正仿宋_GBK" w:eastAsia="方正仿宋_GBK"/>
          <w:b/>
          <w:sz w:val="28"/>
        </w:rPr>
        <w:t>4、贫困学生生活费补助资金绩效目标表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向家庭经济困难学生发放助学金。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确保无一人因贫失学，无一个家庭因学致贫返贫。</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资助标准达标率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资助标准达标率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资助经费及时发放率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家庭经济困难学生完成学业率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完成学业率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发挥效应率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5、小学教师教龄津贴绩效目标表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jc w:val="left"/>
        <w:rPr>
          <w:rFonts w:ascii="方正仿宋_GBK" w:eastAsia="方正仿宋_GBK"/>
          <w:b/>
          <w:sz w:val="28"/>
        </w:rPr>
      </w:pPr>
    </w:p>
    <w:p>
      <w:pPr>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6、幼儿生均公用经费绩效目标表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生均公用经费标准为</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生</w:t>
            </w:r>
            <w:r>
              <w:rPr>
                <w:rFonts w:ascii="方正书宋_GBK" w:eastAsia="方正书宋_GBK"/>
              </w:rPr>
              <w:t>/</w:t>
            </w:r>
            <w:r>
              <w:rPr>
                <w:rFonts w:hint="eastAsia" w:ascii="方正书宋_GBK" w:eastAsia="方正书宋_GBK"/>
              </w:rPr>
              <w:t>年，主要用于教育教学和后勤服务等日常运转方面。</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幼儿园园数</w:t>
            </w:r>
          </w:p>
        </w:tc>
        <w:tc>
          <w:tcPr>
            <w:tcW w:w="2551" w:type="dxa"/>
            <w:vAlign w:val="center"/>
          </w:tcPr>
          <w:p>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rPr>
              <w:t>所</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学校正常运转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办公费、交通、会议费、工会积分招待费及其他公用经费的开支标准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按统一规定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维持单位正常运转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保证单位正常运转</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教师队伍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接受高中教育家长满意度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jc w:val="left"/>
        <w:rPr>
          <w:rFonts w:hAnsi="宋体"/>
          <w:b/>
          <w:sz w:val="28"/>
        </w:rPr>
      </w:pPr>
      <w:r>
        <w:rPr>
          <w:rFonts w:hint="eastAsia" w:ascii="方正仿宋_GBK" w:eastAsia="方正仿宋_GBK"/>
          <w:b/>
          <w:sz w:val="28"/>
        </w:rPr>
        <w:t>7、教育课后服务费绩效目标表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学校所数</w:t>
            </w:r>
          </w:p>
        </w:tc>
        <w:tc>
          <w:tcPr>
            <w:tcW w:w="2551" w:type="dxa"/>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人所</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8、教育宽带使用费绩效目标表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保障单位日常正常运转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确保日常工作正常运行</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标准制定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标准制定</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按实际标准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支付及时率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支付及时率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保障日常办公需要，维持单位正常运转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达到职工满意度要求</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9、教师继续教育资金绩效目标表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及时全面核定，按时缴纳。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保障义务教育学校正常运转，完成教育教学活动。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1068</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280" w:firstLineChars="100"/>
        <w:jc w:val="left"/>
        <w:rPr>
          <w:rFonts w:hAnsi="宋体"/>
          <w:b/>
          <w:sz w:val="28"/>
        </w:rPr>
      </w:pPr>
      <w:r>
        <w:rPr>
          <w:rFonts w:hint="eastAsia" w:ascii="方正仿宋_GBK" w:eastAsia="方正仿宋_GBK"/>
          <w:b/>
          <w:sz w:val="28"/>
        </w:rPr>
        <w:t>10、教育乡镇工作补贴绩效目标表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spacing w:line="300" w:lineRule="exact"/>
        <w:jc w:val="left"/>
      </w:pPr>
    </w:p>
    <w:p>
      <w:pPr>
        <w:spacing w:line="300" w:lineRule="exact"/>
        <w:jc w:val="left"/>
      </w:pPr>
    </w:p>
    <w:p>
      <w:pPr>
        <w:ind w:firstLine="560" w:firstLineChars="200"/>
        <w:jc w:val="left"/>
        <w:rPr>
          <w:rFonts w:hAnsi="宋体"/>
          <w:b/>
          <w:sz w:val="28"/>
        </w:rPr>
      </w:pPr>
      <w:r>
        <w:rPr>
          <w:rFonts w:hint="eastAsia" w:ascii="方正仿宋_GBK" w:eastAsia="方正仿宋_GBK"/>
          <w:b/>
          <w:sz w:val="28"/>
        </w:rPr>
        <w:t>11、小学招聘教师资金绩效目标表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jc w:val="left"/>
        <w:rPr>
          <w:rFonts w:ascii="方正仿宋_GBK" w:eastAsia="方正仿宋_GBK"/>
          <w:b/>
          <w:sz w:val="28"/>
        </w:rPr>
      </w:pPr>
    </w:p>
    <w:p>
      <w:pPr>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12、仁和庄分校团结路小学房屋租金绩效目标表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13、初中教师教龄津贴绩效目标表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jc w:val="left"/>
        <w:rPr>
          <w:rFonts w:ascii="方正仿宋_GBK" w:eastAsia="方正仿宋_GBK"/>
          <w:b/>
          <w:sz w:val="28"/>
        </w:rPr>
      </w:pPr>
    </w:p>
    <w:p>
      <w:pPr>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14、民办代课教师教龄补贴资金绩效目标表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148</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15、初中招聘教师资金绩效目标表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16、第二中心幼儿园房屋租金绩效目标表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551" w:type="dxa"/>
            <w:vAlign w:val="center"/>
          </w:tcPr>
          <w:p>
            <w:pPr>
              <w:spacing w:line="300" w:lineRule="exact"/>
              <w:jc w:val="left"/>
              <w:rPr>
                <w:rFonts w:ascii="方正书宋_GBK" w:eastAsia="方正书宋_GBK"/>
              </w:rPr>
            </w:pPr>
            <w:r>
              <w:rPr>
                <w:rFonts w:ascii="方正书宋_GBK" w:eastAsia="方正书宋_GBK"/>
              </w:rPr>
              <w:t>26533536.2</w:t>
            </w:r>
            <w:r>
              <w:rPr>
                <w:rFonts w:hint="eastAsia" w:ascii="方正书宋_GBK" w:eastAsia="方正书宋_GBK"/>
              </w:rPr>
              <w:t>平米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17、普通高中国家助学金绩效目标表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向家庭经济困难高中生发放助学金。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确保无一人因贫失学，无一个家庭因学致贫返贫。</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资助标准达标率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资助标准达标率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资助经费及时发放率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发挥效应率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家庭经济困难学生完成学业率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完成学业率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18、高中招聘教师资金绩效目标表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spacing w:line="300" w:lineRule="exact"/>
        <w:jc w:val="left"/>
      </w:pPr>
    </w:p>
    <w:p>
      <w:pPr>
        <w:spacing w:line="300" w:lineRule="exact"/>
        <w:jc w:val="left"/>
      </w:pPr>
    </w:p>
    <w:p>
      <w:pPr>
        <w:ind w:firstLine="560" w:firstLineChars="200"/>
        <w:jc w:val="left"/>
        <w:rPr>
          <w:rFonts w:hAnsi="宋体"/>
          <w:b/>
          <w:sz w:val="28"/>
        </w:rPr>
      </w:pPr>
      <w:r>
        <w:rPr>
          <w:rFonts w:hint="eastAsia" w:ascii="方正仿宋_GBK" w:eastAsia="方正仿宋_GBK"/>
          <w:b/>
          <w:sz w:val="28"/>
        </w:rPr>
        <w:t>19、白三房屋租金绩效目标表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20、白沟一中高中部房屋租金绩效目标表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21、高中教师支教资金绩效目标表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根据实际核定补贴对象，及时发放补贴，改善其生活质量。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提高教育教学质量</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补助个人数量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实际到岗人数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学校正常运转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补助金额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按政策执行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补助人员生活改善情况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补助人员在生活交通等方面的改善情况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保证办公正常运转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教师工作积极稳定</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接受高中教育家长满意度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22、幼儿专项经费绩效目标表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主要用于教育教学和后勤服务等日常运转方面。</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所</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学校正常运转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改善园内环境</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为幼儿提供安全、舒适的生活和学习环境</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保障日常正常运转</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0" w:firstLineChars="200"/>
        <w:jc w:val="left"/>
        <w:rPr>
          <w:rFonts w:hAnsi="宋体"/>
          <w:b/>
          <w:sz w:val="28"/>
        </w:rPr>
      </w:pPr>
      <w:r>
        <w:rPr>
          <w:rFonts w:hint="eastAsia" w:ascii="方正仿宋_GBK" w:eastAsia="方正仿宋_GBK"/>
          <w:b/>
          <w:sz w:val="28"/>
        </w:rPr>
        <w:t>23、城乡义务教保障机制经费绩效目标表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保障义务教育学校正常运转，完成教育教学活动和其他日常</w:t>
            </w:r>
          </w:p>
          <w:p>
            <w:pPr>
              <w:spacing w:line="300" w:lineRule="exact"/>
              <w:jc w:val="left"/>
              <w:rPr>
                <w:rFonts w:ascii="方正书宋_GBK" w:eastAsia="方正书宋_GBK"/>
              </w:rPr>
            </w:pPr>
            <w:r>
              <w:rPr>
                <w:rFonts w:hint="eastAsia" w:ascii="方正书宋_GBK" w:eastAsia="方正书宋_GBK"/>
              </w:rPr>
              <w:t>工作等方面的支出。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用于教学业务与管理、教师培训、实验实习、文体活动、水电、取暖、交通差旅、邮电、仪器设备及图书资料等购置，房屋、建筑物及仪器设备的日常维修维护等。</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保工作运转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保工作运转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保障日常办公需要，维持单位正常运转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按标准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24、高中教育生均经费绩效目标表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生均公用经费标准为</w:t>
            </w:r>
            <w:r>
              <w:rPr>
                <w:rFonts w:ascii="方正书宋_GBK" w:eastAsia="方正书宋_GBK"/>
              </w:rPr>
              <w:t>1000</w:t>
            </w:r>
            <w:r>
              <w:rPr>
                <w:rFonts w:hint="eastAsia" w:ascii="方正书宋_GBK" w:eastAsia="方正书宋_GBK"/>
              </w:rPr>
              <w:t>元</w:t>
            </w:r>
            <w:r>
              <w:rPr>
                <w:rFonts w:ascii="方正书宋_GBK" w:eastAsia="方正书宋_GBK"/>
              </w:rPr>
              <w:t>/</w:t>
            </w:r>
            <w:r>
              <w:rPr>
                <w:rFonts w:hint="eastAsia" w:ascii="方正书宋_GBK" w:eastAsia="方正书宋_GBK"/>
              </w:rPr>
              <w:t>生</w:t>
            </w:r>
            <w:r>
              <w:rPr>
                <w:rFonts w:ascii="方正书宋_GBK" w:eastAsia="方正书宋_GBK"/>
              </w:rPr>
              <w:t>/</w:t>
            </w:r>
            <w:r>
              <w:rPr>
                <w:rFonts w:hint="eastAsia" w:ascii="方正书宋_GBK" w:eastAsia="方正书宋_GBK"/>
              </w:rPr>
              <w:t>年，主要用于教育教学和后勤服务等日常运转方面。</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高中学校校数</w:t>
            </w:r>
          </w:p>
        </w:tc>
        <w:tc>
          <w:tcPr>
            <w:tcW w:w="2551" w:type="dxa"/>
            <w:vAlign w:val="center"/>
          </w:tcPr>
          <w:p>
            <w:pPr>
              <w:spacing w:line="300" w:lineRule="exact"/>
              <w:jc w:val="left"/>
              <w:rPr>
                <w:rFonts w:ascii="方正书宋_GBK" w:eastAsia="方正书宋_GBK"/>
              </w:rPr>
            </w:pPr>
            <w:r>
              <w:rPr>
                <w:rFonts w:ascii="方正书宋_GBK" w:eastAsia="方正书宋_GBK"/>
              </w:rPr>
              <w: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学校正常运转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日常公用经费的开支标准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各项日常公用经费的开支标准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按标准执行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接受高中教育家长满意度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25、城建税计提安排的支出绩效目标表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改善办学条件，提高师资素质。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改善中小学教学设施</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实际完成配套设施占计划完成配套设施量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实际完成工程量占计划工程量的比例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改善义务教育办学条件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促进教育公平和社会和谐稳定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综合利用率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基础设施完成后的利用、使用情况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26、各学校保安资金绩效目标表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148</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0" w:firstLineChars="200"/>
        <w:jc w:val="left"/>
        <w:rPr>
          <w:rFonts w:hAnsi="宋体"/>
          <w:b/>
          <w:sz w:val="28"/>
        </w:rPr>
      </w:pPr>
      <w:r>
        <w:rPr>
          <w:rFonts w:hint="eastAsia" w:ascii="方正仿宋_GBK" w:eastAsia="方正仿宋_GBK"/>
          <w:b/>
          <w:sz w:val="28"/>
        </w:rPr>
        <w:t>27、春蕾园房租绩效目标表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房屋间数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房屋间数</w:t>
            </w:r>
          </w:p>
        </w:tc>
        <w:tc>
          <w:tcPr>
            <w:tcW w:w="2551" w:type="dxa"/>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28、教育费附加安排的支出绩效目标表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改善办学条件，提高师资素质。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改善中小学教学设施</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实际完成配套设施占计划完成配套设施量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实际完成工程量占计划工程量的比例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改善义务教育办学条件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促进教育公平和社会和谐稳定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综合利用率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基础设施完成后的利用、使用情况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280" w:firstLineChars="100"/>
        <w:jc w:val="left"/>
        <w:rPr>
          <w:rFonts w:hAnsi="宋体"/>
          <w:b/>
          <w:sz w:val="28"/>
        </w:rPr>
      </w:pPr>
      <w:r>
        <w:rPr>
          <w:rFonts w:hint="eastAsia" w:ascii="方正仿宋_GBK" w:eastAsia="方正仿宋_GBK"/>
          <w:b/>
          <w:sz w:val="28"/>
        </w:rPr>
        <w:t>29、调整教师职称资金绩效目标表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0" w:firstLineChars="200"/>
        <w:jc w:val="left"/>
        <w:rPr>
          <w:rFonts w:hAnsi="宋体"/>
          <w:b/>
          <w:sz w:val="28"/>
        </w:rPr>
      </w:pPr>
      <w:r>
        <w:rPr>
          <w:rFonts w:hint="eastAsia" w:ascii="方正仿宋_GBK" w:eastAsia="方正仿宋_GBK"/>
          <w:b/>
          <w:sz w:val="28"/>
        </w:rPr>
        <w:t>30、富民大街九年一贯制学校一期项目资金绩效目标表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完成施工招标手续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完成一期工程建设，竣工投入使用。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新建校校舍面积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总建筑面积</w:t>
            </w:r>
          </w:p>
        </w:tc>
        <w:tc>
          <w:tcPr>
            <w:tcW w:w="2551" w:type="dxa"/>
            <w:vAlign w:val="center"/>
          </w:tcPr>
          <w:p>
            <w:pPr>
              <w:spacing w:line="300" w:lineRule="exact"/>
              <w:jc w:val="left"/>
              <w:rPr>
                <w:rFonts w:ascii="方正书宋_GBK" w:eastAsia="方正书宋_GBK"/>
              </w:rPr>
            </w:pPr>
            <w:r>
              <w:rPr>
                <w:rFonts w:ascii="方正书宋_GBK" w:eastAsia="方正书宋_GBK"/>
              </w:rPr>
              <w:t>29320.82</w:t>
            </w:r>
            <w:r>
              <w:rPr>
                <w:rFonts w:hint="eastAsia" w:ascii="方正书宋_GBK" w:eastAsia="方正书宋_GBK"/>
              </w:rPr>
              <w:t>平米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实际完成工程量占计划工程量的比例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改善义务教育办学条件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促进教育公平和社会和谐稳定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综合利用率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基础设施完成后的利用、使用情况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保障单位正常运转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保障单位正常运转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31、高中教龄津贴绩效目标表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&lt;1%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spacing w:line="300" w:lineRule="exact"/>
        <w:jc w:val="left"/>
      </w:pPr>
    </w:p>
    <w:p>
      <w:pPr>
        <w:spacing w:line="300" w:lineRule="exact"/>
        <w:jc w:val="left"/>
      </w:pPr>
    </w:p>
    <w:p>
      <w:pPr>
        <w:ind w:firstLine="560" w:firstLineChars="200"/>
        <w:jc w:val="left"/>
        <w:rPr>
          <w:rFonts w:hAnsi="宋体"/>
          <w:b/>
          <w:sz w:val="28"/>
        </w:rPr>
      </w:pPr>
      <w:r>
        <w:rPr>
          <w:rFonts w:hint="eastAsia" w:ascii="方正仿宋_GBK" w:eastAsia="方正仿宋_GBK"/>
          <w:b/>
          <w:sz w:val="28"/>
        </w:rPr>
        <w:t>32、东芦园房屋租金绩效目标表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551" w:type="dxa"/>
            <w:vAlign w:val="center"/>
          </w:tcPr>
          <w:p>
            <w:pPr>
              <w:spacing w:line="300" w:lineRule="exact"/>
              <w:jc w:val="left"/>
              <w:rPr>
                <w:rFonts w:ascii="方正书宋_GBK" w:eastAsia="方正书宋_GBK"/>
              </w:rPr>
            </w:pPr>
            <w:r>
              <w:rPr>
                <w:rFonts w:ascii="方正书宋_GBK" w:eastAsia="方正书宋_GBK"/>
              </w:rPr>
              <w:t>2653</w:t>
            </w:r>
            <w:r>
              <w:rPr>
                <w:rFonts w:hint="eastAsia" w:ascii="方正书宋_GBK" w:eastAsia="方正书宋_GBK"/>
              </w:rPr>
              <w:t>平米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hAnsi="宋体"/>
          <w:b/>
          <w:sz w:val="28"/>
        </w:rPr>
      </w:pPr>
      <w:r>
        <w:rPr>
          <w:rFonts w:hint="eastAsia" w:ascii="方正仿宋_GBK" w:eastAsia="方正仿宋_GBK"/>
          <w:b/>
          <w:sz w:val="28"/>
        </w:rPr>
        <w:t>33、北校分校辘辘把学校房屋租金绩效目标表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pPr>
    </w:p>
    <w:p/>
    <w:p>
      <w:pPr>
        <w:widowControl/>
        <w:jc w:val="left"/>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r>
        <w:rPr>
          <w:rFonts w:hint="eastAsia" w:ascii="黑体" w:hAnsi="黑体" w:eastAsia="黑体"/>
          <w:b/>
          <w:bCs/>
          <w:sz w:val="32"/>
          <w:szCs w:val="32"/>
        </w:rPr>
        <w:t>第六部分：政府采购预算情况</w:t>
      </w:r>
    </w:p>
    <w:p>
      <w:pPr>
        <w:ind w:firstLine="960" w:firstLineChars="300"/>
        <w:jc w:val="left"/>
        <w:outlineLvl w:val="0"/>
        <w:rPr>
          <w:rFonts w:ascii="仿宋" w:hAnsi="仿宋" w:eastAsia="仿宋"/>
          <w:sz w:val="32"/>
          <w:szCs w:val="32"/>
        </w:rPr>
      </w:pPr>
      <w:r>
        <w:rPr>
          <w:rFonts w:hint="eastAsia" w:ascii="仿宋" w:hAnsi="仿宋" w:eastAsia="仿宋"/>
          <w:sz w:val="32"/>
          <w:szCs w:val="32"/>
        </w:rPr>
        <w:t>2021年，白沟镇教育办公室安排采购预算 477.98万元。具体内容见下表：</w:t>
      </w:r>
    </w:p>
    <w:tbl>
      <w:tblPr>
        <w:tblStyle w:val="5"/>
        <w:tblpPr w:leftFromText="180" w:rightFromText="180" w:vertAnchor="text" w:horzAnchor="page" w:tblpX="1982" w:tblpY="620"/>
        <w:tblOverlap w:val="never"/>
        <w:tblW w:w="13410" w:type="dxa"/>
        <w:tblInd w:w="-15"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200"/>
        <w:gridCol w:w="1200"/>
        <w:gridCol w:w="960"/>
        <w:gridCol w:w="1215"/>
        <w:gridCol w:w="1065"/>
        <w:gridCol w:w="945"/>
        <w:gridCol w:w="945"/>
        <w:gridCol w:w="1080"/>
        <w:gridCol w:w="960"/>
        <w:gridCol w:w="960"/>
        <w:gridCol w:w="960"/>
        <w:gridCol w:w="960"/>
        <w:gridCol w:w="96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0" w:hRule="atLeast"/>
        </w:trPr>
        <w:tc>
          <w:tcPr>
            <w:tcW w:w="24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政府采购项目来源</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采购物品名称</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政府采购目录序号</w:t>
            </w: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计量单位</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数量</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单价</w:t>
            </w:r>
          </w:p>
        </w:tc>
        <w:tc>
          <w:tcPr>
            <w:tcW w:w="5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政府采购金额（当年部门预算安排资金）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项目名称</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预算资金</w:t>
            </w: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合计</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一般公共预算拨款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基金预算拨款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国有资本经营预算拨款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财政专户核拨</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其他收入来源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白沟镇教育办公室</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207.3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触控一体机购置</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A020208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96</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2.15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207.3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207.3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白沟镇教育办公室</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79.2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图书购置</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A0501</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册</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59800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0.0013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79.2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79.2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p>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白沟镇教育办公室</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114.57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办公电脑购置</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b/>
                <w:bCs/>
                <w:color w:val="000000"/>
                <w:sz w:val="18"/>
                <w:szCs w:val="18"/>
              </w:rPr>
            </w:pPr>
            <w:r>
              <w:rPr>
                <w:rFonts w:hint="eastAsia" w:ascii="宋体" w:hAnsi="宋体" w:cs="宋体"/>
                <w:b/>
                <w:bCs/>
                <w:color w:val="000000"/>
                <w:sz w:val="18"/>
                <w:szCs w:val="18"/>
              </w:rPr>
              <w:t>A0201</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250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0.45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114.57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114.57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白沟镇教育办公室</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77.11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中小学仪器购置</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A02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个</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12765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0.006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77.11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77.11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18"/>
                <w:szCs w:val="18"/>
              </w:rPr>
            </w:pPr>
          </w:p>
        </w:tc>
      </w:tr>
    </w:tbl>
    <w:p>
      <w:pPr>
        <w:widowControl/>
        <w:jc w:val="center"/>
        <w:rPr>
          <w:rFonts w:ascii="黑体" w:hAnsi="黑体" w:eastAsia="黑体"/>
          <w:b/>
          <w:bCs/>
          <w:sz w:val="32"/>
          <w:szCs w:val="32"/>
        </w:rPr>
      </w:pPr>
    </w:p>
    <w:p>
      <w:pPr>
        <w:pStyle w:val="2"/>
        <w:ind w:firstLine="643" w:firstLineChars="200"/>
        <w:rPr>
          <w:rFonts w:ascii="黑体" w:hAnsi="黑体" w:eastAsia="黑体" w:cs="黑体"/>
          <w:b/>
          <w:sz w:val="32"/>
        </w:rPr>
      </w:pPr>
    </w:p>
    <w:p>
      <w:pPr>
        <w:pStyle w:val="2"/>
        <w:ind w:firstLine="643" w:firstLineChars="200"/>
        <w:rPr>
          <w:rFonts w:ascii="黑体" w:hAnsi="黑体" w:eastAsia="黑体" w:cs="黑体"/>
          <w:b/>
          <w:sz w:val="32"/>
        </w:rPr>
      </w:pPr>
      <w:r>
        <w:rPr>
          <w:rFonts w:hint="eastAsia" w:ascii="黑体" w:hAnsi="黑体" w:eastAsia="黑体" w:cs="黑体"/>
          <w:b/>
          <w:sz w:val="32"/>
        </w:rPr>
        <w:t>第七部分：国有资产信息情况</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保定白沟新城白沟镇教育办公室（含所属单位）上年末固定资产金额为 万元（详见下表），本年度拟购置固定资产总额为477.98万元，主要为计算机设备、图书、教学仪器设备等，已列入政府采购预算，详见政府采购预算表。</w:t>
      </w:r>
    </w:p>
    <w:p>
      <w:pPr>
        <w:spacing w:line="500" w:lineRule="exact"/>
        <w:ind w:firstLine="640" w:firstLineChars="200"/>
        <w:jc w:val="left"/>
        <w:rPr>
          <w:rFonts w:ascii="仿宋" w:hAnsi="仿宋" w:eastAsia="仿宋" w:cs="仿宋"/>
          <w:sz w:val="32"/>
          <w:szCs w:val="32"/>
        </w:rPr>
      </w:pPr>
    </w:p>
    <w:p>
      <w:pPr>
        <w:jc w:val="center"/>
        <w:rPr>
          <w:rFonts w:ascii="仿宋_GB2312" w:hAnsi="黑体" w:eastAsia="仿宋_GB2312"/>
          <w:sz w:val="32"/>
          <w:szCs w:val="32"/>
        </w:rPr>
      </w:pPr>
      <w:r>
        <w:rPr>
          <w:rFonts w:hint="eastAsia" w:ascii="黑体" w:hAnsi="黑体" w:eastAsia="黑体" w:cs="宋体"/>
          <w:bCs/>
          <w:kern w:val="0"/>
          <w:sz w:val="32"/>
          <w:szCs w:val="32"/>
        </w:rPr>
        <w:t>保定白沟新城单位固定资产占用情况表</w:t>
      </w:r>
    </w:p>
    <w:tbl>
      <w:tblPr>
        <w:tblStyle w:val="5"/>
        <w:tblW w:w="9060" w:type="dxa"/>
        <w:jc w:val="center"/>
        <w:tblLayout w:type="fixed"/>
        <w:tblCellMar>
          <w:top w:w="0" w:type="dxa"/>
          <w:left w:w="108" w:type="dxa"/>
          <w:bottom w:w="0" w:type="dxa"/>
          <w:right w:w="108" w:type="dxa"/>
        </w:tblCellMar>
      </w:tblPr>
      <w:tblGrid>
        <w:gridCol w:w="3511"/>
        <w:gridCol w:w="1932"/>
        <w:gridCol w:w="3617"/>
      </w:tblGrid>
      <w:tr>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485</w:t>
            </w:r>
            <w:r>
              <w:rPr>
                <w:rFonts w:hint="eastAsia" w:ascii="方正小标宋_GBK" w:eastAsia="方正小标宋_GBK"/>
                <w:sz w:val="24"/>
                <w:lang w:val="en-US" w:eastAsia="zh-CN"/>
              </w:rPr>
              <w:t>002</w:t>
            </w:r>
            <w:r>
              <w:rPr>
                <w:rFonts w:hint="eastAsia" w:ascii="方正小标宋_GBK" w:eastAsia="方正小标宋_GBK"/>
                <w:sz w:val="24"/>
              </w:rPr>
              <w:t>保定白沟新城白沟镇教育办公室</w:t>
            </w:r>
          </w:p>
        </w:tc>
        <w:tc>
          <w:tcPr>
            <w:tcW w:w="3617" w:type="dxa"/>
            <w:tcBorders>
              <w:top w:val="nil"/>
              <w:left w:val="nil"/>
              <w:bottom w:val="nil"/>
              <w:right w:val="nil"/>
            </w:tcBorders>
            <w:vAlign w:val="center"/>
          </w:tcPr>
          <w:p>
            <w:pPr>
              <w:spacing w:line="300" w:lineRule="exact"/>
              <w:rPr>
                <w:rFonts w:ascii="方正小标宋_GBK" w:eastAsia="方正小标宋_GBK"/>
                <w:sz w:val="24"/>
              </w:rPr>
            </w:pPr>
            <w:r>
              <w:rPr>
                <w:rFonts w:hint="eastAsia" w:ascii="方正小标宋_GBK" w:eastAsia="方正小标宋_GBK"/>
                <w:sz w:val="24"/>
              </w:rPr>
              <w:t xml:space="preserve">截止时间：2020年12月31日  </w:t>
            </w:r>
          </w:p>
        </w:tc>
      </w:tr>
      <w:tr>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5175.9</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4061</w:t>
            </w:r>
          </w:p>
        </w:tc>
        <w:tc>
          <w:tcPr>
            <w:tcW w:w="3617" w:type="dxa"/>
            <w:tcBorders>
              <w:top w:val="nil"/>
              <w:left w:val="nil"/>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149.99</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4061</w:t>
            </w:r>
          </w:p>
        </w:tc>
        <w:tc>
          <w:tcPr>
            <w:tcW w:w="3617" w:type="dxa"/>
            <w:tcBorders>
              <w:top w:val="nil"/>
              <w:left w:val="nil"/>
              <w:bottom w:val="single" w:color="auto" w:sz="4" w:space="0"/>
              <w:right w:val="single" w:color="auto" w:sz="4" w:space="0"/>
            </w:tcBorders>
            <w:vAlign w:val="center"/>
          </w:tcPr>
          <w:p>
            <w:pPr>
              <w:jc w:val="center"/>
              <w:rPr>
                <w:rFonts w:ascii="宋体" w:hAnsi="宋体" w:cs="仿宋"/>
                <w:sz w:val="24"/>
              </w:rPr>
            </w:pPr>
            <w:r>
              <w:rPr>
                <w:rFonts w:hint="eastAsia" w:ascii="宋体" w:hAnsi="宋体" w:cs="仿宋"/>
                <w:sz w:val="24"/>
              </w:rPr>
              <w:t>149.99</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jc w:val="center"/>
              <w:rPr>
                <w:rFonts w:ascii="宋体" w:hAnsi="宋体" w:cs="仿宋"/>
                <w:sz w:val="24"/>
              </w:rPr>
            </w:pPr>
          </w:p>
        </w:tc>
        <w:tc>
          <w:tcPr>
            <w:tcW w:w="3617" w:type="dxa"/>
            <w:tcBorders>
              <w:top w:val="nil"/>
              <w:left w:val="nil"/>
              <w:bottom w:val="single" w:color="auto" w:sz="4" w:space="0"/>
              <w:right w:val="single" w:color="auto" w:sz="4" w:space="0"/>
            </w:tcBorders>
            <w:vAlign w:val="center"/>
          </w:tcPr>
          <w:p>
            <w:pPr>
              <w:jc w:val="center"/>
              <w:rPr>
                <w:rFonts w:ascii="宋体" w:hAnsi="宋体" w:cs="仿宋"/>
                <w:sz w:val="24"/>
              </w:rPr>
            </w:pP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5025.91</w:t>
            </w:r>
          </w:p>
        </w:tc>
      </w:tr>
    </w:tbl>
    <w:p>
      <w:pPr>
        <w:autoSpaceDE w:val="0"/>
        <w:autoSpaceDN w:val="0"/>
        <w:adjustRightInd w:val="0"/>
        <w:spacing w:line="600" w:lineRule="exact"/>
        <w:rPr>
          <w:rFonts w:ascii="黑体" w:hAnsi="黑体" w:eastAsia="黑体" w:cs="黑体"/>
          <w:b/>
          <w:sz w:val="32"/>
          <w:szCs w:val="32"/>
        </w:rPr>
      </w:pPr>
    </w:p>
    <w:p>
      <w:pPr>
        <w:autoSpaceDE w:val="0"/>
        <w:autoSpaceDN w:val="0"/>
        <w:adjustRightInd w:val="0"/>
        <w:spacing w:line="600" w:lineRule="exact"/>
        <w:jc w:val="center"/>
        <w:rPr>
          <w:rFonts w:ascii="黑体" w:hAnsi="黑体" w:eastAsia="黑体" w:cs="黑体"/>
          <w:b/>
          <w:sz w:val="32"/>
          <w:szCs w:val="32"/>
        </w:rPr>
      </w:pPr>
      <w:r>
        <w:rPr>
          <w:rFonts w:hint="eastAsia" w:ascii="黑体" w:hAnsi="黑体" w:eastAsia="黑体" w:cs="黑体"/>
          <w:b/>
          <w:sz w:val="32"/>
          <w:szCs w:val="32"/>
        </w:rPr>
        <w:t>第八部分：名词解释</w:t>
      </w:r>
    </w:p>
    <w:p>
      <w:pPr>
        <w:spacing w:line="600" w:lineRule="exact"/>
        <w:ind w:firstLine="643" w:firstLineChars="200"/>
        <w:jc w:val="left"/>
        <w:outlineLvl w:val="0"/>
        <w:rPr>
          <w:rFonts w:ascii="仿宋" w:hAnsi="仿宋" w:eastAsia="仿宋" w:cs="仿宋"/>
          <w:sz w:val="32"/>
          <w:szCs w:val="32"/>
        </w:rPr>
      </w:pPr>
      <w:r>
        <w:rPr>
          <w:rFonts w:hint="eastAsia" w:ascii="仿宋" w:hAnsi="仿宋" w:eastAsia="仿宋" w:cs="仿宋"/>
          <w:b/>
          <w:bCs/>
          <w:sz w:val="32"/>
          <w:szCs w:val="32"/>
        </w:rPr>
        <w:t>1、财政拨款收入：</w:t>
      </w:r>
      <w:r>
        <w:rPr>
          <w:rFonts w:hint="eastAsia" w:ascii="仿宋" w:hAnsi="仿宋" w:eastAsia="仿宋" w:cs="仿宋"/>
          <w:sz w:val="32"/>
          <w:szCs w:val="32"/>
        </w:rPr>
        <w:t>指区级财政当年拨付的资金。</w:t>
      </w:r>
    </w:p>
    <w:p>
      <w:pPr>
        <w:spacing w:line="600" w:lineRule="exact"/>
        <w:ind w:firstLine="643" w:firstLineChars="200"/>
        <w:jc w:val="left"/>
        <w:outlineLvl w:val="0"/>
        <w:rPr>
          <w:rFonts w:ascii="仿宋" w:hAnsi="仿宋" w:eastAsia="仿宋" w:cs="仿宋"/>
          <w:sz w:val="32"/>
          <w:szCs w:val="32"/>
        </w:rPr>
      </w:pPr>
      <w:r>
        <w:rPr>
          <w:rFonts w:hint="eastAsia" w:ascii="仿宋" w:hAnsi="仿宋" w:eastAsia="仿宋" w:cs="仿宋"/>
          <w:b/>
          <w:bCs/>
          <w:sz w:val="32"/>
          <w:szCs w:val="32"/>
        </w:rPr>
        <w:t>2、其他收入：</w:t>
      </w:r>
      <w:r>
        <w:rPr>
          <w:rFonts w:hint="eastAsia" w:ascii="仿宋" w:hAnsi="仿宋" w:eastAsia="仿宋" w:cs="仿宋"/>
          <w:sz w:val="32"/>
          <w:szCs w:val="32"/>
        </w:rPr>
        <w:t>指除上述“财政拨款收入”、“事业收入”等以外的收入。</w:t>
      </w:r>
    </w:p>
    <w:p>
      <w:pPr>
        <w:spacing w:line="600" w:lineRule="exact"/>
        <w:ind w:firstLine="643" w:firstLineChars="200"/>
        <w:jc w:val="left"/>
        <w:outlineLvl w:val="0"/>
        <w:rPr>
          <w:rFonts w:ascii="仿宋" w:hAnsi="仿宋" w:eastAsia="仿宋" w:cs="仿宋"/>
          <w:sz w:val="32"/>
          <w:szCs w:val="32"/>
        </w:rPr>
      </w:pPr>
      <w:r>
        <w:rPr>
          <w:rFonts w:hint="eastAsia" w:ascii="仿宋" w:hAnsi="仿宋" w:eastAsia="仿宋" w:cs="仿宋"/>
          <w:b/>
          <w:bCs/>
          <w:sz w:val="32"/>
          <w:szCs w:val="32"/>
        </w:rPr>
        <w:t>3、基本支出：</w:t>
      </w:r>
      <w:r>
        <w:rPr>
          <w:rFonts w:hint="eastAsia" w:ascii="仿宋" w:hAnsi="仿宋" w:eastAsia="仿宋" w:cs="仿宋"/>
          <w:sz w:val="32"/>
          <w:szCs w:val="32"/>
        </w:rPr>
        <w:t>指为保障机构正常运转、完成日常工作任务而发生的人员支出和公用支出。</w:t>
      </w:r>
    </w:p>
    <w:p>
      <w:pPr>
        <w:spacing w:line="600" w:lineRule="exact"/>
        <w:ind w:firstLine="643" w:firstLineChars="200"/>
        <w:jc w:val="left"/>
        <w:outlineLvl w:val="0"/>
        <w:rPr>
          <w:rFonts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pPr>
        <w:spacing w:line="600" w:lineRule="exact"/>
        <w:ind w:firstLine="643" w:firstLineChars="200"/>
        <w:jc w:val="left"/>
        <w:outlineLvl w:val="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803" w:firstLineChars="250"/>
        <w:rPr>
          <w:rFonts w:ascii="仿宋" w:hAnsi="仿宋" w:eastAsia="仿宋" w:cs="仿宋"/>
          <w:sz w:val="32"/>
          <w:szCs w:val="32"/>
        </w:rPr>
      </w:pPr>
      <w:r>
        <w:rPr>
          <w:rFonts w:hint="eastAsia" w:ascii="仿宋" w:hAnsi="仿宋" w:eastAsia="仿宋" w:cs="仿宋"/>
          <w:b/>
          <w:bCs/>
          <w:sz w:val="32"/>
          <w:szCs w:val="32"/>
        </w:rPr>
        <w:t>6、机关运行费：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7、公务费：</w:t>
      </w:r>
      <w:r>
        <w:rPr>
          <w:rFonts w:hint="eastAsia" w:ascii="仿宋" w:hAnsi="仿宋" w:eastAsia="仿宋" w:cs="仿宋"/>
          <w:sz w:val="32"/>
          <w:szCs w:val="32"/>
        </w:rPr>
        <w:t>包括办公费、水电费、邮电费、取暖费、交通费、一般会议费和物业管理费之和。</w:t>
      </w:r>
    </w:p>
    <w:p>
      <w:pPr>
        <w:autoSpaceDE w:val="0"/>
        <w:autoSpaceDN w:val="0"/>
        <w:adjustRightInd w:val="0"/>
        <w:spacing w:line="600" w:lineRule="exact"/>
        <w:rPr>
          <w:rFonts w:ascii="宋体" w:hAnsi="宋体" w:cs="仿宋"/>
          <w:b/>
          <w:sz w:val="32"/>
          <w:szCs w:val="32"/>
        </w:rPr>
      </w:pPr>
    </w:p>
    <w:p>
      <w:pPr>
        <w:autoSpaceDE w:val="0"/>
        <w:autoSpaceDN w:val="0"/>
        <w:adjustRightInd w:val="0"/>
        <w:spacing w:line="600" w:lineRule="exact"/>
        <w:jc w:val="center"/>
        <w:rPr>
          <w:rFonts w:ascii="黑体" w:hAnsi="黑体" w:eastAsia="黑体" w:cs="黑体"/>
          <w:b/>
          <w:sz w:val="32"/>
          <w:szCs w:val="32"/>
        </w:rPr>
      </w:pPr>
      <w:r>
        <w:rPr>
          <w:rFonts w:hint="eastAsia" w:ascii="黑体" w:hAnsi="黑体" w:eastAsia="黑体" w:cs="黑体"/>
          <w:b/>
          <w:sz w:val="32"/>
          <w:szCs w:val="32"/>
        </w:rPr>
        <w:t>第九部分：其他需说明的事项</w:t>
      </w:r>
    </w:p>
    <w:p>
      <w:pPr>
        <w:shd w:val="clear" w:color="auto" w:fill="FFFFFF"/>
        <w:spacing w:line="600" w:lineRule="exact"/>
        <w:ind w:firstLine="803"/>
        <w:rPr>
          <w:rFonts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单位</w:t>
      </w:r>
      <w:r>
        <w:rPr>
          <w:rFonts w:hint="eastAsia" w:ascii="仿宋" w:hAnsi="仿宋" w:eastAsia="仿宋" w:cs="仿宋"/>
          <w:sz w:val="32"/>
          <w:szCs w:val="32"/>
        </w:rPr>
        <w:t>无其他需说明的事项。</w:t>
      </w:r>
    </w:p>
    <w:p>
      <w:pPr>
        <w:widowControl/>
        <w:jc w:val="center"/>
        <w:rPr>
          <w:rFonts w:ascii="宋体" w:cs="宋体"/>
          <w:sz w:val="30"/>
          <w:szCs w:val="30"/>
        </w:rPr>
      </w:pPr>
      <w:bookmarkStart w:id="0" w:name="_GoBack"/>
      <w:bookmarkEnd w:id="0"/>
    </w:p>
    <w:sectPr>
      <w:pgSz w:w="16838" w:h="11906" w:orient="landscape"/>
      <w:pgMar w:top="1418" w:right="1758"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cs="Times New Roman"/>
      </w:rPr>
    </w:lvl>
  </w:abstractNum>
  <w:abstractNum w:abstractNumId="1">
    <w:nsid w:val="0000000E"/>
    <w:multiLevelType w:val="singleLevel"/>
    <w:tmpl w:val="0000000E"/>
    <w:lvl w:ilvl="0" w:tentative="0">
      <w:start w:val="1"/>
      <w:numFmt w:val="decimal"/>
      <w:suff w:val="nothing"/>
      <w:lvlText w:val="%1、"/>
      <w:lvlJc w:val="left"/>
      <w:rPr>
        <w:rFonts w:cs="Times New Roman"/>
      </w:rPr>
    </w:lvl>
  </w:abstractNum>
  <w:abstractNum w:abstractNumId="2">
    <w:nsid w:val="0C6105F0"/>
    <w:multiLevelType w:val="multilevel"/>
    <w:tmpl w:val="0C6105F0"/>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0MDJmNGVjYzkxOGRhNjZjZTQ1YWY0YzMxODkwOGIifQ=="/>
  </w:docVars>
  <w:rsids>
    <w:rsidRoot w:val="003E65AD"/>
    <w:rsid w:val="00017973"/>
    <w:rsid w:val="000412D4"/>
    <w:rsid w:val="00063B9C"/>
    <w:rsid w:val="0008066B"/>
    <w:rsid w:val="00090A8C"/>
    <w:rsid w:val="0009594E"/>
    <w:rsid w:val="000C1F32"/>
    <w:rsid w:val="000C4121"/>
    <w:rsid w:val="000D37DB"/>
    <w:rsid w:val="000E0B34"/>
    <w:rsid w:val="00100BB8"/>
    <w:rsid w:val="001204A1"/>
    <w:rsid w:val="00121679"/>
    <w:rsid w:val="001610DC"/>
    <w:rsid w:val="00175546"/>
    <w:rsid w:val="001A0BD7"/>
    <w:rsid w:val="001E3969"/>
    <w:rsid w:val="002179BD"/>
    <w:rsid w:val="002222A2"/>
    <w:rsid w:val="00223873"/>
    <w:rsid w:val="00235243"/>
    <w:rsid w:val="002575D0"/>
    <w:rsid w:val="00271DC9"/>
    <w:rsid w:val="002E754E"/>
    <w:rsid w:val="002F2F55"/>
    <w:rsid w:val="00303524"/>
    <w:rsid w:val="00347FB4"/>
    <w:rsid w:val="00360E67"/>
    <w:rsid w:val="00376756"/>
    <w:rsid w:val="003E65AD"/>
    <w:rsid w:val="00412DBE"/>
    <w:rsid w:val="00414630"/>
    <w:rsid w:val="00420641"/>
    <w:rsid w:val="004207F8"/>
    <w:rsid w:val="00427CD5"/>
    <w:rsid w:val="004325A0"/>
    <w:rsid w:val="0044707B"/>
    <w:rsid w:val="00447442"/>
    <w:rsid w:val="004773F3"/>
    <w:rsid w:val="004D3475"/>
    <w:rsid w:val="004E020F"/>
    <w:rsid w:val="004E22B6"/>
    <w:rsid w:val="00500637"/>
    <w:rsid w:val="00504020"/>
    <w:rsid w:val="0050727C"/>
    <w:rsid w:val="00540B8F"/>
    <w:rsid w:val="005B44B7"/>
    <w:rsid w:val="005C7933"/>
    <w:rsid w:val="005D114F"/>
    <w:rsid w:val="005F1E1A"/>
    <w:rsid w:val="005F453C"/>
    <w:rsid w:val="005F5564"/>
    <w:rsid w:val="006057EE"/>
    <w:rsid w:val="006241B5"/>
    <w:rsid w:val="006A7E22"/>
    <w:rsid w:val="006E00B9"/>
    <w:rsid w:val="006F5704"/>
    <w:rsid w:val="007118C4"/>
    <w:rsid w:val="00715E49"/>
    <w:rsid w:val="00723DBA"/>
    <w:rsid w:val="00740221"/>
    <w:rsid w:val="0076144F"/>
    <w:rsid w:val="0076384A"/>
    <w:rsid w:val="00770B7A"/>
    <w:rsid w:val="007A089A"/>
    <w:rsid w:val="007A7887"/>
    <w:rsid w:val="007B3994"/>
    <w:rsid w:val="007D1AAB"/>
    <w:rsid w:val="007E7086"/>
    <w:rsid w:val="007F7210"/>
    <w:rsid w:val="007F7C37"/>
    <w:rsid w:val="00806E06"/>
    <w:rsid w:val="00826420"/>
    <w:rsid w:val="0089027C"/>
    <w:rsid w:val="008D4AA9"/>
    <w:rsid w:val="008E5F6B"/>
    <w:rsid w:val="00911A0C"/>
    <w:rsid w:val="009144AC"/>
    <w:rsid w:val="009733C7"/>
    <w:rsid w:val="009C458A"/>
    <w:rsid w:val="009D3191"/>
    <w:rsid w:val="009D6CD3"/>
    <w:rsid w:val="009F00A8"/>
    <w:rsid w:val="009F089E"/>
    <w:rsid w:val="009F0D9E"/>
    <w:rsid w:val="00A12081"/>
    <w:rsid w:val="00A17B8B"/>
    <w:rsid w:val="00A34862"/>
    <w:rsid w:val="00A41193"/>
    <w:rsid w:val="00A56490"/>
    <w:rsid w:val="00A6335F"/>
    <w:rsid w:val="00A752BA"/>
    <w:rsid w:val="00A75430"/>
    <w:rsid w:val="00A7766C"/>
    <w:rsid w:val="00AA3861"/>
    <w:rsid w:val="00AB1BDA"/>
    <w:rsid w:val="00AC2987"/>
    <w:rsid w:val="00B262EA"/>
    <w:rsid w:val="00B34874"/>
    <w:rsid w:val="00B66AF9"/>
    <w:rsid w:val="00B81378"/>
    <w:rsid w:val="00B81570"/>
    <w:rsid w:val="00B86506"/>
    <w:rsid w:val="00B97AC2"/>
    <w:rsid w:val="00BA431D"/>
    <w:rsid w:val="00BA4F05"/>
    <w:rsid w:val="00BD028F"/>
    <w:rsid w:val="00C03453"/>
    <w:rsid w:val="00C235F8"/>
    <w:rsid w:val="00C23A75"/>
    <w:rsid w:val="00C2457C"/>
    <w:rsid w:val="00C618AA"/>
    <w:rsid w:val="00C75414"/>
    <w:rsid w:val="00C85B9C"/>
    <w:rsid w:val="00CB0BC5"/>
    <w:rsid w:val="00CB7322"/>
    <w:rsid w:val="00CF572F"/>
    <w:rsid w:val="00D32822"/>
    <w:rsid w:val="00D34A16"/>
    <w:rsid w:val="00D62641"/>
    <w:rsid w:val="00D73A27"/>
    <w:rsid w:val="00D81345"/>
    <w:rsid w:val="00D9102F"/>
    <w:rsid w:val="00D91290"/>
    <w:rsid w:val="00DA1388"/>
    <w:rsid w:val="00DB3CAA"/>
    <w:rsid w:val="00DC723E"/>
    <w:rsid w:val="00DE16AE"/>
    <w:rsid w:val="00DE7C92"/>
    <w:rsid w:val="00E209BA"/>
    <w:rsid w:val="00E20BD2"/>
    <w:rsid w:val="00E31E54"/>
    <w:rsid w:val="00E62158"/>
    <w:rsid w:val="00E67B20"/>
    <w:rsid w:val="00E70A2D"/>
    <w:rsid w:val="00ED74BF"/>
    <w:rsid w:val="00EF7FD0"/>
    <w:rsid w:val="00F2398D"/>
    <w:rsid w:val="00F33BEA"/>
    <w:rsid w:val="00F459CD"/>
    <w:rsid w:val="00F7654A"/>
    <w:rsid w:val="00F830AB"/>
    <w:rsid w:val="00F929F7"/>
    <w:rsid w:val="00FD12F2"/>
    <w:rsid w:val="00FD7679"/>
    <w:rsid w:val="1B4F0CD0"/>
    <w:rsid w:val="25F4006B"/>
    <w:rsid w:val="56BF3550"/>
    <w:rsid w:val="76231953"/>
    <w:rsid w:val="7E54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1"/>
    <w:unhideWhenUsed/>
    <w:qFormat/>
    <w:uiPriority w:val="0"/>
    <w:pPr>
      <w:keepNext/>
      <w:keepLines/>
      <w:spacing w:before="260" w:after="260" w:line="416" w:lineRule="auto"/>
      <w:jc w:val="center"/>
      <w:outlineLvl w:val="1"/>
    </w:pPr>
    <w:rPr>
      <w:rFonts w:ascii="Calibri Light" w:hAnsi="Calibri Light" w:eastAsia="方正小标宋_GBK"/>
      <w:bCs/>
      <w:sz w:val="36"/>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rFonts w:cs="Times New Roman"/>
      <w:i/>
      <w:iCs/>
    </w:rPr>
  </w:style>
  <w:style w:type="character" w:customStyle="1" w:styleId="8">
    <w:name w:val="页脚 Char"/>
    <w:basedOn w:val="6"/>
    <w:link w:val="3"/>
    <w:qFormat/>
    <w:uiPriority w:val="0"/>
    <w:rPr>
      <w:rFonts w:cs="Times New Roman"/>
      <w:kern w:val="2"/>
      <w:sz w:val="18"/>
      <w:szCs w:val="18"/>
    </w:rPr>
  </w:style>
  <w:style w:type="character" w:customStyle="1" w:styleId="9">
    <w:name w:val="页眉 Char"/>
    <w:basedOn w:val="6"/>
    <w:link w:val="4"/>
    <w:qFormat/>
    <w:uiPriority w:val="0"/>
    <w:rPr>
      <w:rFonts w:cs="Times New Roman"/>
      <w:kern w:val="2"/>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List Paragraph1"/>
    <w:basedOn w:val="1"/>
    <w:qFormat/>
    <w:uiPriority w:val="0"/>
    <w:pPr>
      <w:ind w:firstLine="420" w:firstLineChars="200"/>
    </w:pPr>
  </w:style>
  <w:style w:type="character" w:customStyle="1" w:styleId="12">
    <w:name w:val="页码1"/>
    <w:basedOn w:val="6"/>
    <w:uiPriority w:val="0"/>
  </w:style>
  <w:style w:type="character" w:customStyle="1" w:styleId="13">
    <w:name w:val="apple-converted-space"/>
    <w:basedOn w:val="6"/>
    <w:qFormat/>
    <w:uiPriority w:val="0"/>
    <w:rPr>
      <w:rFonts w:cs="Times New Roman"/>
    </w:rPr>
  </w:style>
  <w:style w:type="character" w:customStyle="1" w:styleId="14">
    <w:name w:val="fontstyle11"/>
    <w:basedOn w:val="6"/>
    <w:qFormat/>
    <w:uiPriority w:val="0"/>
    <w:rPr>
      <w:rFonts w:ascii="仿宋" w:hAnsi="仿宋" w:eastAsia="仿宋" w:cs="仿宋"/>
      <w:color w:val="000000"/>
      <w:sz w:val="32"/>
      <w:szCs w:val="32"/>
    </w:rPr>
  </w:style>
  <w:style w:type="character" w:customStyle="1" w:styleId="15">
    <w:name w:val="fontstyle41"/>
    <w:basedOn w:val="6"/>
    <w:qFormat/>
    <w:uiPriority w:val="0"/>
    <w:rPr>
      <w:rFonts w:ascii="楷体" w:hAnsi="楷体" w:eastAsia="楷体" w:cs="楷体"/>
      <w:color w:val="000000"/>
      <w:sz w:val="32"/>
      <w:szCs w:val="32"/>
    </w:rPr>
  </w:style>
  <w:style w:type="paragraph" w:styleId="16">
    <w:name w:val="List Paragraph"/>
    <w:basedOn w:val="1"/>
    <w:qFormat/>
    <w:uiPriority w:val="34"/>
    <w:pPr>
      <w:ind w:firstLine="420" w:firstLineChars="200"/>
    </w:pPr>
  </w:style>
  <w:style w:type="paragraph" w:customStyle="1" w:styleId="17">
    <w:name w:val="Normal_c883abcf-bbc2-4e08-bfba-7cd4e9565d3d"/>
    <w:qFormat/>
    <w:uiPriority w:val="0"/>
    <w:rPr>
      <w:rFonts w:ascii="Times New Roman" w:hAnsi="Times New Roman" w:eastAsia="Times New Roman" w:cs="Times New Roman"/>
      <w:sz w:val="24"/>
      <w:szCs w:val="24"/>
      <w:lang w:val="en-US" w:eastAsia="uk-UA" w:bidi="ar-SA"/>
    </w:rPr>
  </w:style>
  <w:style w:type="paragraph" w:customStyle="1" w:styleId="18">
    <w:name w:val="单元格样式1_6f8f86a4-f605-40cc-af92-f1e28e5e495f"/>
    <w:basedOn w:val="1"/>
    <w:qFormat/>
    <w:uiPriority w:val="0"/>
    <w:pPr>
      <w:jc w:val="center"/>
    </w:pPr>
    <w:rPr>
      <w:rFonts w:ascii="方正书宋_GBK" w:hAnsi="方正书宋_GBK" w:eastAsia="方正书宋_GBK" w:cs="方正书宋_GBK"/>
      <w:b/>
    </w:rPr>
  </w:style>
  <w:style w:type="paragraph" w:customStyle="1" w:styleId="19">
    <w:name w:val="单元格样式2_569c0e23-3d0b-4828-8e82-f62fff79e63b"/>
    <w:basedOn w:val="1"/>
    <w:qFormat/>
    <w:uiPriority w:val="0"/>
    <w:pPr>
      <w:jc w:val="left"/>
    </w:pPr>
    <w:rPr>
      <w:rFonts w:ascii="方正书宋_GBK" w:hAnsi="方正书宋_GBK" w:eastAsia="方正书宋_GBK" w:cs="方正书宋_GBK"/>
    </w:rPr>
  </w:style>
  <w:style w:type="paragraph" w:customStyle="1" w:styleId="20">
    <w:name w:val="单元格样式3_74da7dbb-4ba8-4477-b2c8-665460bc5e3f"/>
    <w:basedOn w:val="1"/>
    <w:qFormat/>
    <w:uiPriority w:val="0"/>
    <w:pPr>
      <w:jc w:val="center"/>
    </w:pPr>
    <w:rPr>
      <w:rFonts w:ascii="方正书宋_GBK" w:hAnsi="方正书宋_GBK" w:eastAsia="方正书宋_GBK" w:cs="方正书宋_GBK"/>
    </w:rPr>
  </w:style>
  <w:style w:type="character" w:customStyle="1" w:styleId="21">
    <w:name w:val="标题 2 Char"/>
    <w:basedOn w:val="6"/>
    <w:link w:val="2"/>
    <w:uiPriority w:val="0"/>
    <w:rPr>
      <w:rFonts w:ascii="Calibri Light" w:hAnsi="Calibri Light" w:eastAsia="方正小标宋_GBK"/>
      <w:bCs/>
      <w:kern w:val="2"/>
      <w:sz w:val="36"/>
      <w:szCs w:val="32"/>
    </w:rPr>
  </w:style>
  <w:style w:type="paragraph" w:customStyle="1" w:styleId="2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43</Pages>
  <Words>16033</Words>
  <Characters>17193</Characters>
  <Lines>145</Lines>
  <Paragraphs>41</Paragraphs>
  <TotalTime>162</TotalTime>
  <ScaleCrop>false</ScaleCrop>
  <LinksUpToDate>false</LinksUpToDate>
  <CharactersWithSpaces>17250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2022-09-16T06:09:00Z</dcterms:created>
  <dc:creator>Administrator</dc:creator>
  <cp:lastModifiedBy>LENOVO</cp:lastModifiedBy>
  <cp:lastPrinted>2017-04-26T08:49:00Z</cp:lastPrinted>
  <dcterms:modified xsi:type="dcterms:W3CDTF">2022-09-17T03:27:31Z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65C57B4E0CDA47C8ABBE6A679352C5DD</vt:lpwstr>
  </property>
</Properties>
</file>