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rFonts w:ascii="宋体" w:cs="黑体"/>
          <w:b/>
          <w:sz w:val="44"/>
          <w:szCs w:val="44"/>
        </w:rPr>
      </w:pPr>
      <w:r>
        <w:rPr>
          <w:rFonts w:hint="eastAsia" w:ascii="宋体" w:hAnsi="宋体" w:cs="黑体"/>
          <w:b/>
          <w:sz w:val="44"/>
          <w:szCs w:val="44"/>
        </w:rPr>
        <w:t>保定白沟新城财政局</w:t>
      </w:r>
    </w:p>
    <w:p>
      <w:pPr>
        <w:jc w:val="center"/>
        <w:rPr>
          <w:rFonts w:ascii="宋体"/>
          <w:b/>
          <w:sz w:val="44"/>
          <w:szCs w:val="44"/>
        </w:rPr>
      </w:pPr>
      <w:r>
        <w:rPr>
          <w:rFonts w:ascii="宋体" w:hAnsi="宋体"/>
          <w:b/>
          <w:sz w:val="44"/>
          <w:szCs w:val="44"/>
        </w:rPr>
        <w:t>2017</w:t>
      </w:r>
      <w:r>
        <w:rPr>
          <w:rFonts w:hint="eastAsia" w:ascii="宋体" w:hAnsi="宋体"/>
          <w:b/>
          <w:sz w:val="44"/>
          <w:szCs w:val="44"/>
        </w:rPr>
        <w:t>年部门预算信息公开</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按照《预算法》规定，现将保定白沟新城财政局</w:t>
      </w:r>
      <w:r>
        <w:rPr>
          <w:rFonts w:ascii="仿宋" w:hAnsi="仿宋" w:eastAsia="仿宋" w:cs="仿宋_GB2312"/>
          <w:sz w:val="32"/>
          <w:szCs w:val="32"/>
        </w:rPr>
        <w:t>2017</w:t>
      </w:r>
      <w:r>
        <w:rPr>
          <w:rFonts w:hint="eastAsia" w:ascii="仿宋" w:hAnsi="仿宋" w:eastAsia="仿宋" w:cs="仿宋_GB2312"/>
          <w:sz w:val="32"/>
          <w:szCs w:val="32"/>
        </w:rPr>
        <w:t>年部门预算公开如下：</w:t>
      </w:r>
    </w:p>
    <w:p>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rPr>
        <w:t>部门职责及机构设置情况</w:t>
      </w:r>
    </w:p>
    <w:p>
      <w:pPr>
        <w:numPr>
          <w:ilvl w:val="0"/>
          <w:numId w:val="1"/>
        </w:numPr>
        <w:ind w:firstLine="643" w:firstLineChars="200"/>
        <w:rPr>
          <w:rFonts w:ascii="宋体" w:cs="宋体"/>
          <w:b/>
          <w:sz w:val="32"/>
          <w:szCs w:val="32"/>
        </w:rPr>
      </w:pPr>
      <w:r>
        <w:rPr>
          <w:rFonts w:hint="eastAsia" w:ascii="宋体" w:hAnsi="宋体" w:cs="宋体"/>
          <w:b/>
          <w:sz w:val="32"/>
          <w:szCs w:val="32"/>
        </w:rPr>
        <w:t>部门职责</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根据河北省机构编制委员会《关于组建保定白沟新城管理机构的通知》（冀机编</w:t>
      </w:r>
      <w:r>
        <w:rPr>
          <w:rFonts w:ascii="仿宋" w:hAnsi="仿宋" w:eastAsia="仿宋" w:cs="仿宋"/>
          <w:sz w:val="30"/>
          <w:szCs w:val="30"/>
        </w:rPr>
        <w:t>[2010]29</w:t>
      </w:r>
      <w:r>
        <w:rPr>
          <w:rFonts w:hint="eastAsia" w:ascii="仿宋" w:hAnsi="仿宋" w:eastAsia="仿宋" w:cs="仿宋"/>
          <w:sz w:val="30"/>
          <w:szCs w:val="30"/>
        </w:rPr>
        <w:t>号）、保定市机构编制委员会《关于组建保定白沟新城管理机构的通知》（保编字</w:t>
      </w:r>
      <w:r>
        <w:rPr>
          <w:rFonts w:ascii="仿宋" w:hAnsi="仿宋" w:eastAsia="仿宋" w:cs="仿宋"/>
          <w:sz w:val="30"/>
          <w:szCs w:val="30"/>
        </w:rPr>
        <w:t>[2010]38</w:t>
      </w:r>
      <w:r>
        <w:rPr>
          <w:rFonts w:hint="eastAsia" w:ascii="仿宋" w:hAnsi="仿宋" w:eastAsia="仿宋" w:cs="仿宋"/>
          <w:sz w:val="30"/>
          <w:szCs w:val="30"/>
        </w:rPr>
        <w:t>号）和《关于印发白沟新城主要职责内设机构和人员编制规定的通知》（保编字</w:t>
      </w:r>
      <w:r>
        <w:rPr>
          <w:rFonts w:ascii="仿宋" w:hAnsi="仿宋" w:eastAsia="仿宋" w:cs="仿宋"/>
          <w:sz w:val="30"/>
          <w:szCs w:val="30"/>
        </w:rPr>
        <w:t>[2010]44</w:t>
      </w:r>
      <w:r>
        <w:rPr>
          <w:rFonts w:hint="eastAsia" w:ascii="仿宋" w:hAnsi="仿宋" w:eastAsia="仿宋" w:cs="仿宋"/>
          <w:sz w:val="30"/>
          <w:szCs w:val="30"/>
        </w:rPr>
        <w:t>号）文件精神，现就白沟新城财政局的职能配置、机构设置情况明确如下：</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（一）参与财政政策研究工作，负责财政宣传，规章制度选编等；</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（二）负责编制、审查预决算；</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（三）分析各部门、白沟镇的收入任务；协调有关部门积极组织收入；</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四）负责医疗保险基金、城镇居民最低生活保障基金、养老保险基金、待业保险基金的监督管理；负责纳入预算管理的有关社会保障内容和行政性收费和罚没收入项目管理工作；负责行政事业性收费票据、收款收据和罚没收入票据的购领、发放、审验等管理工作；负责世界银行贷款项目的财务、物资管理及提款、报账、还款等事项；</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五）组织实施行政事业单位财政资金集中收付业务、审核财政支付预算单位的各项预算资金；管理经批准为预算单位开设的专户、核算和反映特设专户资金的收入和支出活动，审核一级预算单位的季度分月用款计划；</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六）负责支农政策的贯彻落实及农村财务的监督与管理；负责支农资金的拨借与回收、宣传、贯彻执行上级农业综合开发的政策、法规等；负责组织调查农业后备资源，编制农业综合开发总体规划、农业综合开发人事培训、统计等工作；负责农发项目立项前的调查准备，建立项目库，确定推荐项目和组织评估论证等工作；</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（七）负责辖区内国有资产清查统计工作，对产权转让中造成的国有资产流失行为进行查处；负责收集和宣传政府采购的法律、法规、政策、规定、发布合同及政府采购信息；</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八）负责安排财政监督检查工作，配合上级有关部门依法处理各种违反财经纪律的行为，办理违反财政政策、法令制度和财政纪律的案件；负责受理违反财政政策、法令、制度举报事宜；负责监督、检查、指导各单位会计工作。</w:t>
      </w:r>
    </w:p>
    <w:p>
      <w:pPr>
        <w:numPr>
          <w:ilvl w:val="0"/>
          <w:numId w:val="1"/>
        </w:numPr>
        <w:spacing w:line="600" w:lineRule="exact"/>
        <w:ind w:firstLine="602" w:firstLineChars="200"/>
        <w:rPr>
          <w:rFonts w:ascii="宋体" w:cs="宋体"/>
          <w:b/>
          <w:bCs/>
          <w:sz w:val="30"/>
          <w:szCs w:val="30"/>
        </w:rPr>
      </w:pPr>
      <w:r>
        <w:rPr>
          <w:rFonts w:hint="eastAsia" w:ascii="宋体" w:hAnsi="宋体" w:cs="宋体"/>
          <w:b/>
          <w:bCs/>
          <w:sz w:val="30"/>
          <w:szCs w:val="30"/>
        </w:rPr>
        <w:t>机构设置</w:t>
      </w:r>
    </w:p>
    <w:tbl>
      <w:tblPr>
        <w:tblStyle w:val="6"/>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tblPrEx>
          <w:tblLayout w:type="fixed"/>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Layout w:type="fixed"/>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仿宋"/>
                <w:color w:val="000000"/>
                <w:kern w:val="0"/>
                <w:sz w:val="24"/>
              </w:rPr>
            </w:pPr>
          </w:p>
        </w:tc>
      </w:tr>
      <w:tr>
        <w:tblPrEx>
          <w:tblLayout w:type="fixed"/>
          <w:tblCellMar>
            <w:top w:w="0" w:type="dxa"/>
            <w:left w:w="108" w:type="dxa"/>
            <w:bottom w:w="0" w:type="dxa"/>
            <w:right w:w="108" w:type="dxa"/>
          </w:tblCellMar>
        </w:tblPrEx>
        <w:trPr>
          <w:trHeight w:val="720" w:hRule="atLeast"/>
        </w:trPr>
        <w:tc>
          <w:tcPr>
            <w:tcW w:w="83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ascii="仿宋" w:hAnsi="仿宋" w:eastAsia="仿宋" w:cs="仿宋"/>
                <w:color w:val="000000"/>
                <w:kern w:val="0"/>
                <w:sz w:val="24"/>
              </w:rPr>
              <w:t>1</w:t>
            </w:r>
          </w:p>
        </w:tc>
        <w:tc>
          <w:tcPr>
            <w:tcW w:w="256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保定白沟新城财政局</w:t>
            </w:r>
          </w:p>
        </w:tc>
        <w:tc>
          <w:tcPr>
            <w:tcW w:w="165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行政</w:t>
            </w:r>
          </w:p>
        </w:tc>
        <w:tc>
          <w:tcPr>
            <w:tcW w:w="1905"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副处级</w:t>
            </w:r>
          </w:p>
        </w:tc>
        <w:tc>
          <w:tcPr>
            <w:tcW w:w="1890"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财政拨款</w:t>
            </w:r>
          </w:p>
        </w:tc>
      </w:tr>
    </w:tbl>
    <w:p>
      <w:pPr>
        <w:jc w:val="center"/>
        <w:outlineLvl w:val="0"/>
        <w:rPr>
          <w:rFonts w:ascii="黑体" w:hAnsi="黑体" w:eastAsia="黑体"/>
          <w:b/>
          <w:sz w:val="32"/>
        </w:rPr>
      </w:pPr>
    </w:p>
    <w:p>
      <w:pPr>
        <w:spacing w:line="520" w:lineRule="exact"/>
        <w:ind w:left="640" w:firstLine="964"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rPr>
        <w:t>部门预算安排的总体情况</w:t>
      </w:r>
    </w:p>
    <w:p>
      <w:pPr>
        <w:numPr>
          <w:ilvl w:val="0"/>
          <w:numId w:val="2"/>
        </w:numPr>
        <w:spacing w:line="520" w:lineRule="exact"/>
        <w:ind w:firstLine="643" w:firstLineChars="200"/>
        <w:rPr>
          <w:rFonts w:ascii="宋体" w:cs="宋体"/>
          <w:b/>
          <w:bCs/>
          <w:sz w:val="32"/>
          <w:szCs w:val="32"/>
        </w:rPr>
      </w:pPr>
      <w:r>
        <w:rPr>
          <w:rFonts w:hint="eastAsia" w:ascii="宋体" w:hAnsi="宋体" w:cs="宋体"/>
          <w:b/>
          <w:bCs/>
          <w:sz w:val="32"/>
          <w:szCs w:val="32"/>
        </w:rPr>
        <w:t>收入说明</w:t>
      </w:r>
    </w:p>
    <w:p>
      <w:pPr>
        <w:spacing w:line="520" w:lineRule="exact"/>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年保定白沟新城财政局年初部门收入预算总额为</w:t>
      </w:r>
      <w:r>
        <w:rPr>
          <w:rFonts w:ascii="仿宋" w:hAnsi="仿宋" w:eastAsia="仿宋"/>
          <w:sz w:val="32"/>
          <w:szCs w:val="32"/>
        </w:rPr>
        <w:t>738.49</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其中：人员经费预算为</w:t>
      </w:r>
      <w:r>
        <w:rPr>
          <w:rFonts w:ascii="仿宋" w:hAnsi="仿宋" w:eastAsia="仿宋"/>
          <w:sz w:val="32"/>
          <w:szCs w:val="32"/>
        </w:rPr>
        <w:t>324.99</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日常公用经费预算为</w:t>
      </w:r>
      <w:r>
        <w:rPr>
          <w:rFonts w:ascii="仿宋" w:hAnsi="仿宋" w:eastAsia="仿宋"/>
          <w:sz w:val="32"/>
          <w:szCs w:val="32"/>
        </w:rPr>
        <w:t>27.5</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专项项目、公用经费预算为</w:t>
      </w:r>
      <w:r>
        <w:rPr>
          <w:rFonts w:ascii="仿宋" w:hAnsi="仿宋" w:eastAsia="仿宋"/>
          <w:sz w:val="32"/>
          <w:szCs w:val="32"/>
        </w:rPr>
        <w:t>386</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pPr>
        <w:spacing w:line="520" w:lineRule="exact"/>
        <w:ind w:firstLine="640" w:firstLineChars="200"/>
        <w:rPr>
          <w:rFonts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年部门支出安排预算总额</w:t>
      </w:r>
      <w:r>
        <w:rPr>
          <w:rFonts w:ascii="仿宋" w:hAnsi="仿宋" w:eastAsia="仿宋"/>
          <w:sz w:val="32"/>
          <w:szCs w:val="32"/>
        </w:rPr>
        <w:t>738.49</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352.49</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ascii="仿宋" w:hAnsi="仿宋" w:eastAsia="仿宋"/>
          <w:sz w:val="32"/>
          <w:szCs w:val="32"/>
        </w:rPr>
        <w:t xml:space="preserve"> 324.99</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ascii="仿宋" w:hAnsi="仿宋" w:eastAsia="仿宋"/>
          <w:sz w:val="32"/>
          <w:szCs w:val="32"/>
        </w:rPr>
        <w:t xml:space="preserve"> 27.5</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386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ascii="仿宋" w:hAnsi="仿宋" w:eastAsia="仿宋"/>
          <w:sz w:val="32"/>
          <w:szCs w:val="32"/>
        </w:rPr>
        <w:t xml:space="preserve"> 386</w:t>
      </w:r>
      <w:r>
        <w:rPr>
          <w:rFonts w:hint="eastAsia" w:ascii="仿宋" w:hAnsi="仿宋" w:eastAsia="仿宋"/>
          <w:sz w:val="32"/>
          <w:szCs w:val="32"/>
        </w:rPr>
        <w:t>万元</w:t>
      </w:r>
    </w:p>
    <w:p>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pPr>
        <w:tabs>
          <w:tab w:val="left" w:pos="916"/>
        </w:tabs>
        <w:spacing w:line="560" w:lineRule="exact"/>
        <w:jc w:val="left"/>
        <w:rPr>
          <w:rFonts w:ascii="黑体" w:hAnsi="黑体" w:eastAsia="黑体"/>
          <w:b/>
          <w:sz w:val="32"/>
        </w:rPr>
      </w:pPr>
      <w:r>
        <w:rPr>
          <w:rFonts w:hint="eastAsia" w:ascii="仿宋" w:hAnsi="仿宋" w:eastAsia="仿宋"/>
          <w:sz w:val="32"/>
          <w:szCs w:val="32"/>
        </w:rPr>
        <w:t>　　本年度预算收支安排</w:t>
      </w:r>
      <w:r>
        <w:rPr>
          <w:rFonts w:ascii="仿宋" w:hAnsi="仿宋" w:eastAsia="仿宋"/>
          <w:sz w:val="32"/>
          <w:szCs w:val="32"/>
        </w:rPr>
        <w:t>738.49</w:t>
      </w:r>
      <w:r>
        <w:rPr>
          <w:rFonts w:hint="eastAsia" w:ascii="仿宋" w:hAnsi="仿宋" w:eastAsia="仿宋"/>
          <w:sz w:val="32"/>
          <w:szCs w:val="32"/>
        </w:rPr>
        <w:t>万元，较上年增加</w:t>
      </w:r>
      <w:r>
        <w:rPr>
          <w:rFonts w:ascii="仿宋" w:hAnsi="仿宋" w:eastAsia="仿宋"/>
          <w:sz w:val="32"/>
          <w:szCs w:val="32"/>
        </w:rPr>
        <w:t>215.64</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lang w:eastAsia="zh-CN"/>
        </w:rPr>
        <w:t>本年</w:t>
      </w:r>
      <w:r>
        <w:rPr>
          <w:rFonts w:hint="eastAsia" w:ascii="仿宋" w:hAnsi="仿宋" w:eastAsia="仿宋"/>
          <w:sz w:val="32"/>
          <w:szCs w:val="32"/>
        </w:rPr>
        <w:t>增加项目支出，机房网络改造及资产清查审计等专项支出。</w:t>
      </w:r>
    </w:p>
    <w:p>
      <w:pPr>
        <w:autoSpaceDE w:val="0"/>
        <w:autoSpaceDN w:val="0"/>
        <w:adjustRightInd w:val="0"/>
        <w:spacing w:line="600" w:lineRule="exact"/>
        <w:ind w:firstLine="640"/>
        <w:jc w:val="center"/>
        <w:rPr>
          <w:rFonts w:ascii="黑体" w:hAnsi="黑体" w:eastAsia="黑体" w:cs="仿宋"/>
          <w:b/>
          <w:sz w:val="32"/>
          <w:szCs w:val="32"/>
        </w:rPr>
      </w:pPr>
    </w:p>
    <w:p>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pPr>
        <w:ind w:firstLine="600" w:firstLineChars="200"/>
        <w:rPr>
          <w:rFonts w:ascii="仿宋" w:hAnsi="仿宋" w:eastAsia="仿宋" w:cs="宋体"/>
          <w:sz w:val="30"/>
          <w:szCs w:val="30"/>
          <w:lang w:val="zh-CN"/>
        </w:rPr>
      </w:pPr>
      <w:r>
        <w:rPr>
          <w:rFonts w:hint="eastAsia" w:ascii="仿宋" w:hAnsi="仿宋" w:eastAsia="仿宋" w:cs="宋体"/>
          <w:sz w:val="30"/>
          <w:szCs w:val="30"/>
        </w:rPr>
        <w:t>我局机关运行经费安排资金</w:t>
      </w:r>
      <w:r>
        <w:rPr>
          <w:rFonts w:ascii="仿宋" w:hAnsi="仿宋" w:eastAsia="仿宋" w:cs="宋体"/>
          <w:sz w:val="30"/>
          <w:szCs w:val="30"/>
        </w:rPr>
        <w:t>296.5</w:t>
      </w:r>
      <w:r>
        <w:rPr>
          <w:rFonts w:hint="eastAsia" w:ascii="仿宋" w:hAnsi="仿宋" w:eastAsia="仿宋" w:cs="宋体"/>
          <w:sz w:val="30"/>
          <w:szCs w:val="30"/>
        </w:rPr>
        <w:t>万元，其中办公费</w:t>
      </w:r>
      <w:r>
        <w:rPr>
          <w:rFonts w:ascii="仿宋" w:hAnsi="仿宋" w:eastAsia="仿宋" w:cs="宋体"/>
          <w:sz w:val="30"/>
          <w:szCs w:val="30"/>
        </w:rPr>
        <w:t>52.1</w:t>
      </w:r>
      <w:r>
        <w:rPr>
          <w:rFonts w:hint="eastAsia" w:ascii="仿宋" w:hAnsi="仿宋" w:eastAsia="仿宋" w:cs="宋体"/>
          <w:sz w:val="30"/>
          <w:szCs w:val="30"/>
        </w:rPr>
        <w:t>万元、印刷费</w:t>
      </w:r>
      <w:r>
        <w:rPr>
          <w:rFonts w:ascii="仿宋" w:hAnsi="仿宋" w:eastAsia="仿宋" w:cs="宋体"/>
          <w:sz w:val="30"/>
          <w:szCs w:val="30"/>
        </w:rPr>
        <w:t>20</w:t>
      </w:r>
      <w:r>
        <w:rPr>
          <w:rFonts w:hint="eastAsia" w:ascii="仿宋" w:hAnsi="仿宋" w:eastAsia="仿宋" w:cs="宋体"/>
          <w:sz w:val="30"/>
          <w:szCs w:val="30"/>
        </w:rPr>
        <w:t>万元、手续费</w:t>
      </w:r>
      <w:r>
        <w:rPr>
          <w:rFonts w:ascii="仿宋" w:hAnsi="仿宋" w:eastAsia="仿宋" w:cs="宋体"/>
          <w:sz w:val="30"/>
          <w:szCs w:val="30"/>
        </w:rPr>
        <w:t>2.3</w:t>
      </w:r>
      <w:r>
        <w:rPr>
          <w:rFonts w:hint="eastAsia" w:ascii="仿宋" w:hAnsi="仿宋" w:eastAsia="仿宋" w:cs="宋体"/>
          <w:sz w:val="30"/>
          <w:szCs w:val="30"/>
        </w:rPr>
        <w:t>万元、邮电费</w:t>
      </w:r>
      <w:r>
        <w:rPr>
          <w:rFonts w:ascii="仿宋" w:hAnsi="仿宋" w:eastAsia="仿宋" w:cs="宋体"/>
          <w:sz w:val="30"/>
          <w:szCs w:val="30"/>
        </w:rPr>
        <w:t>0.3</w:t>
      </w:r>
      <w:r>
        <w:rPr>
          <w:rFonts w:hint="eastAsia" w:ascii="仿宋" w:hAnsi="仿宋" w:eastAsia="仿宋" w:cs="宋体"/>
          <w:sz w:val="30"/>
          <w:szCs w:val="30"/>
        </w:rPr>
        <w:t>万元、差旅费</w:t>
      </w:r>
      <w:r>
        <w:rPr>
          <w:rFonts w:ascii="仿宋" w:hAnsi="仿宋" w:eastAsia="仿宋" w:cs="宋体"/>
          <w:sz w:val="30"/>
          <w:szCs w:val="30"/>
        </w:rPr>
        <w:t>7</w:t>
      </w:r>
      <w:r>
        <w:rPr>
          <w:rFonts w:hint="eastAsia" w:ascii="仿宋" w:hAnsi="仿宋" w:eastAsia="仿宋" w:cs="宋体"/>
          <w:sz w:val="30"/>
          <w:szCs w:val="30"/>
        </w:rPr>
        <w:t>万元、维修（护）费</w:t>
      </w:r>
      <w:r>
        <w:rPr>
          <w:rFonts w:ascii="仿宋" w:hAnsi="仿宋" w:eastAsia="仿宋" w:cs="宋体"/>
          <w:sz w:val="30"/>
          <w:szCs w:val="30"/>
        </w:rPr>
        <w:t>35.32</w:t>
      </w:r>
      <w:r>
        <w:rPr>
          <w:rFonts w:hint="eastAsia" w:ascii="仿宋" w:hAnsi="仿宋" w:eastAsia="仿宋" w:cs="宋体"/>
          <w:sz w:val="30"/>
          <w:szCs w:val="30"/>
        </w:rPr>
        <w:t>万元、公务用车运行维护费</w:t>
      </w:r>
      <w:r>
        <w:rPr>
          <w:rFonts w:ascii="仿宋" w:hAnsi="仿宋" w:eastAsia="仿宋" w:cs="宋体"/>
          <w:sz w:val="30"/>
          <w:szCs w:val="30"/>
        </w:rPr>
        <w:t>12</w:t>
      </w:r>
      <w:r>
        <w:rPr>
          <w:rFonts w:hint="eastAsia" w:ascii="仿宋" w:hAnsi="仿宋" w:eastAsia="仿宋" w:cs="宋体"/>
          <w:sz w:val="30"/>
          <w:szCs w:val="30"/>
        </w:rPr>
        <w:t>万元、财政业务专网改造：</w:t>
      </w:r>
      <w:r>
        <w:rPr>
          <w:rFonts w:ascii="仿宋" w:hAnsi="仿宋" w:eastAsia="仿宋" w:cs="宋体"/>
          <w:sz w:val="30"/>
          <w:szCs w:val="30"/>
        </w:rPr>
        <w:t>50</w:t>
      </w:r>
      <w:r>
        <w:rPr>
          <w:rFonts w:hint="eastAsia" w:ascii="仿宋" w:hAnsi="仿宋" w:eastAsia="仿宋" w:cs="宋体"/>
          <w:sz w:val="30"/>
          <w:szCs w:val="30"/>
        </w:rPr>
        <w:t>万元、视频会议改造</w:t>
      </w:r>
      <w:r>
        <w:rPr>
          <w:rFonts w:ascii="仿宋" w:hAnsi="仿宋" w:eastAsia="仿宋" w:cs="宋体"/>
          <w:sz w:val="30"/>
          <w:szCs w:val="30"/>
        </w:rPr>
        <w:t>10</w:t>
      </w:r>
      <w:r>
        <w:rPr>
          <w:rFonts w:hint="eastAsia" w:ascii="仿宋" w:hAnsi="仿宋" w:eastAsia="仿宋" w:cs="宋体"/>
          <w:sz w:val="30"/>
          <w:szCs w:val="30"/>
        </w:rPr>
        <w:t>万元、办公设备购置</w:t>
      </w:r>
      <w:r>
        <w:rPr>
          <w:rFonts w:ascii="仿宋" w:hAnsi="仿宋" w:eastAsia="仿宋" w:cs="宋体"/>
          <w:sz w:val="30"/>
          <w:szCs w:val="30"/>
        </w:rPr>
        <w:t>13</w:t>
      </w:r>
      <w:r>
        <w:rPr>
          <w:rFonts w:hint="eastAsia" w:ascii="仿宋" w:hAnsi="仿宋" w:eastAsia="仿宋" w:cs="宋体"/>
          <w:sz w:val="30"/>
          <w:szCs w:val="30"/>
        </w:rPr>
        <w:t>万元、预算国库支付改革</w:t>
      </w:r>
      <w:r>
        <w:rPr>
          <w:rFonts w:ascii="仿宋" w:hAnsi="仿宋" w:eastAsia="仿宋" w:cs="宋体"/>
          <w:sz w:val="30"/>
          <w:szCs w:val="30"/>
        </w:rPr>
        <w:t>20</w:t>
      </w:r>
      <w:r>
        <w:rPr>
          <w:rFonts w:hint="eastAsia" w:ascii="仿宋" w:hAnsi="仿宋" w:eastAsia="仿宋" w:cs="宋体"/>
          <w:sz w:val="30"/>
          <w:szCs w:val="30"/>
        </w:rPr>
        <w:t>万元、会议及培训</w:t>
      </w:r>
      <w:r>
        <w:rPr>
          <w:rFonts w:ascii="仿宋" w:hAnsi="仿宋" w:eastAsia="仿宋" w:cs="宋体"/>
          <w:sz w:val="30"/>
          <w:szCs w:val="30"/>
        </w:rPr>
        <w:t>8</w:t>
      </w:r>
      <w:r>
        <w:rPr>
          <w:rFonts w:hint="eastAsia" w:ascii="仿宋" w:hAnsi="仿宋" w:eastAsia="仿宋" w:cs="宋体"/>
          <w:sz w:val="30"/>
          <w:szCs w:val="30"/>
        </w:rPr>
        <w:t>万元、其他支出</w:t>
      </w:r>
      <w:r>
        <w:rPr>
          <w:rFonts w:ascii="仿宋" w:hAnsi="仿宋" w:eastAsia="仿宋" w:cs="宋体"/>
          <w:sz w:val="30"/>
          <w:szCs w:val="30"/>
        </w:rPr>
        <w:t>66.48</w:t>
      </w:r>
      <w:r>
        <w:rPr>
          <w:rFonts w:hint="eastAsia" w:ascii="仿宋" w:hAnsi="仿宋" w:eastAsia="仿宋" w:cs="宋体"/>
          <w:sz w:val="30"/>
          <w:szCs w:val="30"/>
        </w:rPr>
        <w:t>万元。</w:t>
      </w:r>
    </w:p>
    <w:p>
      <w:pPr>
        <w:autoSpaceDE w:val="0"/>
        <w:autoSpaceDN w:val="0"/>
        <w:adjustRightInd w:val="0"/>
        <w:spacing w:line="600" w:lineRule="exact"/>
        <w:ind w:firstLine="640"/>
        <w:jc w:val="center"/>
        <w:rPr>
          <w:rFonts w:ascii="黑体" w:hAnsi="黑体" w:eastAsia="黑体" w:cs="仿宋"/>
          <w:b/>
          <w:sz w:val="32"/>
          <w:szCs w:val="32"/>
        </w:rPr>
      </w:pPr>
    </w:p>
    <w:p>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pPr>
        <w:ind w:firstLine="600" w:firstLineChars="200"/>
        <w:rPr>
          <w:rFonts w:ascii="宋体" w:cs="宋体"/>
          <w:sz w:val="30"/>
          <w:szCs w:val="30"/>
        </w:rPr>
      </w:pPr>
      <w:r>
        <w:rPr>
          <w:rFonts w:hint="eastAsia" w:ascii="宋体" w:hAnsi="宋体" w:cs="宋体"/>
          <w:sz w:val="30"/>
          <w:szCs w:val="30"/>
        </w:rPr>
        <w:t>财政拨款“三公经费”预算数</w:t>
      </w:r>
      <w:r>
        <w:rPr>
          <w:rFonts w:ascii="宋体" w:hAnsi="宋体" w:cs="宋体"/>
          <w:sz w:val="30"/>
          <w:szCs w:val="30"/>
        </w:rPr>
        <w:t>12</w:t>
      </w:r>
      <w:r>
        <w:rPr>
          <w:rFonts w:hint="eastAsia" w:ascii="宋体" w:hAnsi="宋体" w:cs="宋体"/>
          <w:sz w:val="30"/>
          <w:szCs w:val="30"/>
        </w:rPr>
        <w:t>万元。</w:t>
      </w:r>
    </w:p>
    <w:tbl>
      <w:tblPr>
        <w:tblStyle w:val="6"/>
        <w:tblW w:w="9855" w:type="dxa"/>
        <w:tblInd w:w="0" w:type="dxa"/>
        <w:tblLayout w:type="fixed"/>
        <w:tblCellMar>
          <w:top w:w="0" w:type="dxa"/>
          <w:left w:w="108" w:type="dxa"/>
          <w:bottom w:w="0" w:type="dxa"/>
          <w:right w:w="108" w:type="dxa"/>
        </w:tblCellMar>
      </w:tblPr>
      <w:tblGrid>
        <w:gridCol w:w="2136"/>
        <w:gridCol w:w="1716"/>
        <w:gridCol w:w="1716"/>
        <w:gridCol w:w="1176"/>
        <w:gridCol w:w="3111"/>
      </w:tblGrid>
      <w:tr>
        <w:tblPrEx>
          <w:tblLayout w:type="fixed"/>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Layout w:type="fixed"/>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widowControl/>
              <w:jc w:val="left"/>
              <w:rPr>
                <w:rFonts w:ascii="宋体" w:cs="宋体"/>
                <w:kern w:val="0"/>
                <w:sz w:val="24"/>
              </w:rPr>
            </w:pPr>
          </w:p>
        </w:tc>
        <w:tc>
          <w:tcPr>
            <w:tcW w:w="1716" w:type="dxa"/>
            <w:tcBorders>
              <w:top w:val="nil"/>
              <w:left w:val="nil"/>
              <w:bottom w:val="nil"/>
              <w:right w:val="nil"/>
            </w:tcBorders>
            <w:vAlign w:val="center"/>
          </w:tcPr>
          <w:p>
            <w:pPr>
              <w:widowControl/>
              <w:jc w:val="left"/>
              <w:rPr>
                <w:rFonts w:ascii="宋体" w:cs="宋体"/>
                <w:kern w:val="0"/>
                <w:sz w:val="24"/>
              </w:rPr>
            </w:pPr>
          </w:p>
        </w:tc>
        <w:tc>
          <w:tcPr>
            <w:tcW w:w="1716" w:type="dxa"/>
            <w:tcBorders>
              <w:top w:val="nil"/>
              <w:left w:val="nil"/>
              <w:bottom w:val="nil"/>
              <w:right w:val="nil"/>
            </w:tcBorders>
            <w:vAlign w:val="center"/>
          </w:tcPr>
          <w:p>
            <w:pPr>
              <w:widowControl/>
              <w:jc w:val="left"/>
              <w:rPr>
                <w:rFonts w:ascii="宋体" w:cs="宋体"/>
                <w:kern w:val="0"/>
                <w:sz w:val="24"/>
              </w:rPr>
            </w:pPr>
          </w:p>
        </w:tc>
        <w:tc>
          <w:tcPr>
            <w:tcW w:w="1176" w:type="dxa"/>
            <w:tcBorders>
              <w:top w:val="nil"/>
              <w:left w:val="nil"/>
              <w:bottom w:val="nil"/>
              <w:right w:val="nil"/>
            </w:tcBorders>
            <w:vAlign w:val="center"/>
          </w:tcPr>
          <w:p>
            <w:pPr>
              <w:widowControl/>
              <w:jc w:val="left"/>
              <w:rPr>
                <w:rFonts w:ascii="宋体" w:cs="宋体"/>
                <w:kern w:val="0"/>
                <w:sz w:val="24"/>
              </w:rPr>
            </w:pPr>
          </w:p>
        </w:tc>
        <w:tc>
          <w:tcPr>
            <w:tcW w:w="3111" w:type="dxa"/>
            <w:tcBorders>
              <w:top w:val="nil"/>
              <w:left w:val="nil"/>
              <w:bottom w:val="nil"/>
              <w:right w:val="nil"/>
            </w:tcBorders>
            <w:vAlign w:val="center"/>
          </w:tcPr>
          <w:p>
            <w:pPr>
              <w:widowControl/>
              <w:jc w:val="right"/>
              <w:rPr>
                <w:rFonts w:ascii="宋体" w:cs="宋体"/>
                <w:kern w:val="0"/>
                <w:sz w:val="24"/>
              </w:rPr>
            </w:pPr>
            <w:r>
              <w:rPr>
                <w:rFonts w:hint="eastAsia" w:ascii="宋体" w:hAnsi="宋体" w:cs="宋体"/>
                <w:kern w:val="0"/>
                <w:sz w:val="24"/>
              </w:rPr>
              <w:t>单位：万元</w:t>
            </w:r>
          </w:p>
        </w:tc>
      </w:tr>
      <w:tr>
        <w:tblPrEx>
          <w:tblLayout w:type="fixed"/>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2016</w:t>
            </w:r>
            <w:r>
              <w:rPr>
                <w:rFonts w:hint="eastAsia" w:ascii="宋体" w:hAnsi="宋体"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2017</w:t>
            </w:r>
            <w:r>
              <w:rPr>
                <w:rFonts w:hint="eastAsia" w:ascii="宋体" w:hAnsi="宋体" w:cs="宋体"/>
                <w:kern w:val="0"/>
                <w:sz w:val="24"/>
              </w:rPr>
              <w:t>年度预算</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增减金额</w:t>
            </w:r>
          </w:p>
        </w:tc>
        <w:tc>
          <w:tcPr>
            <w:tcW w:w="311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变化原因</w:t>
            </w:r>
          </w:p>
        </w:tc>
      </w:tr>
      <w:tr>
        <w:tblPrEx>
          <w:tblLayout w:type="fixed"/>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c>
          <w:tcPr>
            <w:tcW w:w="311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无增减变化</w:t>
            </w:r>
          </w:p>
        </w:tc>
      </w:tr>
      <w:tr>
        <w:tblPrEx>
          <w:tblLayout w:type="fixed"/>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c>
          <w:tcPr>
            <w:tcW w:w="311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无增减变化</w:t>
            </w:r>
          </w:p>
        </w:tc>
      </w:tr>
      <w:tr>
        <w:tblPrEx>
          <w:tblLayout w:type="fixed"/>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13</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12</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-1</w:t>
            </w:r>
          </w:p>
        </w:tc>
        <w:tc>
          <w:tcPr>
            <w:tcW w:w="311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公务用车改革后有</w:t>
            </w:r>
            <w:r>
              <w:rPr>
                <w:rFonts w:ascii="宋体" w:hAnsi="宋体" w:cs="宋体"/>
                <w:kern w:val="0"/>
                <w:sz w:val="24"/>
              </w:rPr>
              <w:t>1</w:t>
            </w:r>
            <w:r>
              <w:rPr>
                <w:rFonts w:hint="eastAsia" w:ascii="宋体" w:hAnsi="宋体" w:cs="宋体"/>
                <w:kern w:val="0"/>
                <w:sz w:val="24"/>
              </w:rPr>
              <w:t>辆车，工作量大，耗油及维修费用。</w:t>
            </w:r>
          </w:p>
        </w:tc>
      </w:tr>
      <w:tr>
        <w:tblPrEx>
          <w:tblLayout w:type="fixed"/>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0</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w:t>
            </w:r>
          </w:p>
        </w:tc>
        <w:tc>
          <w:tcPr>
            <w:tcW w:w="311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减少原因：严格执行“八项规定”。</w:t>
            </w:r>
          </w:p>
          <w:p>
            <w:pPr>
              <w:widowControl/>
              <w:jc w:val="left"/>
              <w:rPr>
                <w:rFonts w:ascii="宋体" w:cs="宋体"/>
                <w:kern w:val="0"/>
                <w:sz w:val="24"/>
              </w:rPr>
            </w:pPr>
            <w:r>
              <w:rPr>
                <w:rFonts w:hint="eastAsia" w:ascii="宋体" w:hAnsi="宋体" w:cs="宋体"/>
                <w:kern w:val="0"/>
                <w:sz w:val="24"/>
              </w:rPr>
              <w:t>‘’</w:t>
            </w:r>
          </w:p>
        </w:tc>
      </w:tr>
      <w:tr>
        <w:tblPrEx>
          <w:tblLayout w:type="fixed"/>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15</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12</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-3</w:t>
            </w:r>
          </w:p>
        </w:tc>
        <w:tc>
          <w:tcPr>
            <w:tcW w:w="3111"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ascii="宋体" w:hAnsi="宋体" w:cs="宋体"/>
                <w:kern w:val="0"/>
                <w:sz w:val="24"/>
              </w:rPr>
              <w:t>2017</w:t>
            </w:r>
            <w:r>
              <w:rPr>
                <w:rFonts w:hint="eastAsia" w:ascii="宋体" w:hAnsi="宋体" w:cs="宋体"/>
                <w:kern w:val="0"/>
                <w:sz w:val="24"/>
              </w:rPr>
              <w:t>年，我局针对三公经费支出制定了严格的管理制度，认真执行中央“八项规定”，厉行节约，杜绝浪费。从总量来讲，我局的三公经费与</w:t>
            </w:r>
            <w:r>
              <w:rPr>
                <w:rFonts w:ascii="宋体" w:hAnsi="宋体" w:cs="宋体"/>
                <w:kern w:val="0"/>
                <w:sz w:val="24"/>
              </w:rPr>
              <w:t>2016</w:t>
            </w:r>
            <w:r>
              <w:rPr>
                <w:rFonts w:hint="eastAsia" w:ascii="宋体" w:hAnsi="宋体" w:cs="宋体"/>
                <w:kern w:val="0"/>
                <w:sz w:val="24"/>
              </w:rPr>
              <w:t>年相比减少了</w:t>
            </w:r>
            <w:r>
              <w:rPr>
                <w:rFonts w:ascii="宋体" w:hAnsi="宋体" w:cs="宋体"/>
                <w:kern w:val="0"/>
                <w:sz w:val="24"/>
              </w:rPr>
              <w:t>3</w:t>
            </w:r>
            <w:r>
              <w:rPr>
                <w:rFonts w:hint="eastAsia" w:ascii="宋体" w:hAnsi="宋体" w:cs="宋体"/>
                <w:kern w:val="0"/>
                <w:sz w:val="24"/>
              </w:rPr>
              <w:t>万元。</w:t>
            </w:r>
          </w:p>
        </w:tc>
      </w:tr>
    </w:tbl>
    <w:p>
      <w:pPr>
        <w:outlineLvl w:val="0"/>
        <w:rPr>
          <w:rFonts w:ascii="黑体" w:hAnsi="黑体" w:eastAsia="黑体"/>
          <w:b/>
          <w:sz w:val="32"/>
        </w:rPr>
      </w:pPr>
    </w:p>
    <w:p>
      <w:pPr>
        <w:jc w:val="center"/>
        <w:outlineLvl w:val="0"/>
        <w:rPr>
          <w:rFonts w:ascii="黑体" w:hAnsi="黑体" w:eastAsia="黑体"/>
          <w:b/>
          <w:sz w:val="32"/>
        </w:rPr>
      </w:pPr>
    </w:p>
    <w:p>
      <w:pPr>
        <w:jc w:val="center"/>
        <w:outlineLvl w:val="0"/>
        <w:rPr>
          <w:rFonts w:ascii="宋体"/>
        </w:rPr>
      </w:pPr>
      <w:r>
        <w:rPr>
          <w:rFonts w:hint="eastAsia" w:ascii="黑体" w:hAnsi="黑体" w:eastAsia="黑体"/>
          <w:b/>
          <w:sz w:val="32"/>
        </w:rPr>
        <w:t>第五部分：绩效预算信息</w:t>
      </w:r>
    </w:p>
    <w:p>
      <w:pPr>
        <w:spacing w:line="520" w:lineRule="exact"/>
        <w:ind w:firstLine="643" w:firstLineChars="200"/>
        <w:jc w:val="left"/>
        <w:rPr>
          <w:rFonts w:ascii="黑体" w:hAnsi="黑体" w:eastAsia="黑体"/>
          <w:b/>
          <w:sz w:val="32"/>
          <w:szCs w:val="32"/>
        </w:rPr>
      </w:pPr>
      <w:r>
        <w:rPr>
          <w:rFonts w:hint="eastAsia" w:ascii="黑体" w:hAnsi="黑体" w:eastAsia="黑体"/>
          <w:b/>
          <w:sz w:val="32"/>
          <w:szCs w:val="32"/>
        </w:rPr>
        <w:t>一、总体绩效目标</w:t>
      </w:r>
    </w:p>
    <w:p>
      <w:pPr>
        <w:spacing w:line="520" w:lineRule="exact"/>
        <w:ind w:firstLine="640"/>
        <w:jc w:val="left"/>
        <w:rPr>
          <w:rStyle w:val="11"/>
        </w:rPr>
      </w:pPr>
      <w:r>
        <w:rPr>
          <w:rStyle w:val="11"/>
        </w:rPr>
        <w:t xml:space="preserve">2017 </w:t>
      </w:r>
      <w:r>
        <w:rPr>
          <w:rStyle w:val="11"/>
          <w:rFonts w:hint="eastAsia"/>
        </w:rPr>
        <w:t>年，我区财政工作将牢固树立创新、协调、绿色、开放、共享发展理念，紧紧围绕管委会决策部署，积极推进财政改革，优化支出结构，强化绩效导向，精准有效发力，着力促进稳增长、调结构、惠民生、促改革、防风险各项政策落实。</w:t>
      </w:r>
    </w:p>
    <w:p>
      <w:pPr>
        <w:spacing w:line="520" w:lineRule="exact"/>
        <w:ind w:left="638" w:leftChars="304" w:firstLine="0" w:firstLineChars="0"/>
        <w:jc w:val="left"/>
        <w:rPr>
          <w:rStyle w:val="11"/>
        </w:rPr>
      </w:pPr>
      <w:r>
        <w:rPr>
          <w:rStyle w:val="11"/>
          <w:rFonts w:hint="eastAsia" w:eastAsia="仿宋"/>
          <w:lang w:eastAsia="zh-CN"/>
        </w:rPr>
        <w:t>一、</w:t>
      </w:r>
      <w:r>
        <w:rPr>
          <w:rStyle w:val="11"/>
          <w:rFonts w:hint="eastAsia"/>
        </w:rPr>
        <w:t>促进经济稳定增长，做大财政收入规模</w:t>
      </w:r>
      <w:r>
        <w:rPr>
          <w:rStyle w:val="11"/>
        </w:rPr>
        <w:br w:type="textWrapping"/>
      </w:r>
      <w:bookmarkStart w:id="0" w:name="OLE_LINK1"/>
      <w:r>
        <w:rPr>
          <w:rStyle w:val="11"/>
          <w:rFonts w:hint="eastAsia"/>
        </w:rPr>
        <w:t>（一）</w:t>
      </w:r>
      <w:bookmarkEnd w:id="0"/>
      <w:r>
        <w:rPr>
          <w:rStyle w:val="11"/>
          <w:rFonts w:hint="eastAsia"/>
        </w:rPr>
        <w:t>全面落实减税降费政策</w:t>
      </w:r>
    </w:p>
    <w:p>
      <w:pPr>
        <w:spacing w:line="520" w:lineRule="exact"/>
        <w:ind w:firstLine="640" w:firstLineChars="200"/>
        <w:jc w:val="left"/>
        <w:rPr>
          <w:rStyle w:val="11"/>
        </w:rPr>
      </w:pPr>
      <w:r>
        <w:rPr>
          <w:rStyle w:val="11"/>
          <w:rFonts w:hint="eastAsia"/>
        </w:rPr>
        <w:t>统筹用好财政政策和资金</w:t>
      </w:r>
    </w:p>
    <w:p>
      <w:pPr>
        <w:spacing w:line="520" w:lineRule="exact"/>
        <w:ind w:firstLine="640"/>
        <w:jc w:val="left"/>
        <w:rPr>
          <w:rStyle w:val="11"/>
        </w:rPr>
      </w:pPr>
      <w:r>
        <w:rPr>
          <w:rStyle w:val="11"/>
          <w:rFonts w:hint="eastAsia"/>
        </w:rPr>
        <w:t>切实强化依法依规征收</w:t>
      </w:r>
    </w:p>
    <w:p>
      <w:pPr>
        <w:spacing w:line="520" w:lineRule="exact"/>
        <w:ind w:left="638" w:leftChars="304" w:firstLine="0" w:firstLineChars="0"/>
        <w:jc w:val="left"/>
        <w:rPr>
          <w:rStyle w:val="11"/>
        </w:rPr>
      </w:pPr>
      <w:r>
        <w:rPr>
          <w:rStyle w:val="11"/>
          <w:rFonts w:hint="eastAsia"/>
        </w:rPr>
        <w:t>二、规范财政基础管理，提高资金使用效益</w:t>
      </w:r>
      <w:r>
        <w:rPr>
          <w:rStyle w:val="11"/>
        </w:rPr>
        <w:br w:type="textWrapping"/>
      </w:r>
      <w:r>
        <w:rPr>
          <w:rStyle w:val="11"/>
          <w:rFonts w:hint="eastAsia"/>
        </w:rPr>
        <w:t>（一）统筹整合各类资金</w:t>
      </w:r>
    </w:p>
    <w:p>
      <w:pPr>
        <w:spacing w:line="520" w:lineRule="exact"/>
        <w:ind w:firstLine="640"/>
        <w:jc w:val="left"/>
        <w:rPr>
          <w:rStyle w:val="11"/>
        </w:rPr>
      </w:pPr>
      <w:r>
        <w:rPr>
          <w:rStyle w:val="11"/>
          <w:rFonts w:hint="eastAsia"/>
        </w:rPr>
        <w:t>统筹盘活各项存量</w:t>
      </w:r>
    </w:p>
    <w:p>
      <w:pPr>
        <w:spacing w:line="520" w:lineRule="exact"/>
        <w:ind w:firstLine="640"/>
        <w:jc w:val="left"/>
        <w:rPr>
          <w:rStyle w:val="11"/>
        </w:rPr>
      </w:pPr>
      <w:r>
        <w:rPr>
          <w:rStyle w:val="11"/>
          <w:rFonts w:hint="eastAsia"/>
        </w:rPr>
        <w:t>强化预算执行管理</w:t>
      </w:r>
    </w:p>
    <w:p>
      <w:pPr>
        <w:spacing w:line="520" w:lineRule="exact"/>
        <w:ind w:firstLine="640"/>
        <w:jc w:val="left"/>
        <w:rPr>
          <w:rStyle w:val="11"/>
        </w:rPr>
      </w:pPr>
      <w:r>
        <w:rPr>
          <w:rStyle w:val="11"/>
          <w:rFonts w:hint="eastAsia"/>
        </w:rPr>
        <w:t>三、继续优化支出结构，持续改善民生福祉</w:t>
      </w:r>
    </w:p>
    <w:p>
      <w:pPr>
        <w:spacing w:line="520" w:lineRule="exact"/>
        <w:ind w:firstLine="640"/>
        <w:jc w:val="left"/>
        <w:rPr>
          <w:rStyle w:val="11"/>
        </w:rPr>
      </w:pPr>
      <w:r>
        <w:rPr>
          <w:rStyle w:val="11"/>
          <w:rFonts w:hint="eastAsia"/>
        </w:rPr>
        <w:t>（一）落实强农惠农富农政策</w:t>
      </w:r>
    </w:p>
    <w:p>
      <w:pPr>
        <w:spacing w:line="520" w:lineRule="exact"/>
        <w:ind w:firstLine="640"/>
        <w:jc w:val="left"/>
        <w:rPr>
          <w:rStyle w:val="11"/>
        </w:rPr>
      </w:pPr>
      <w:r>
        <w:rPr>
          <w:rStyle w:val="11"/>
          <w:rFonts w:hint="eastAsia"/>
        </w:rPr>
        <w:t>（二）支持优先发展教育事业</w:t>
      </w:r>
    </w:p>
    <w:p>
      <w:pPr>
        <w:spacing w:line="520" w:lineRule="exact"/>
        <w:ind w:firstLine="640"/>
        <w:jc w:val="left"/>
        <w:rPr>
          <w:rStyle w:val="11"/>
        </w:rPr>
      </w:pPr>
      <w:r>
        <w:rPr>
          <w:rStyle w:val="11"/>
          <w:rFonts w:hint="eastAsia"/>
        </w:rPr>
        <w:t>（三）完善社会保障制度</w:t>
      </w:r>
    </w:p>
    <w:p>
      <w:pPr>
        <w:spacing w:line="520" w:lineRule="exact"/>
        <w:ind w:firstLine="640"/>
        <w:jc w:val="left"/>
        <w:rPr>
          <w:rStyle w:val="11"/>
          <w:rFonts w:hint="eastAsia"/>
        </w:rPr>
      </w:pPr>
      <w:r>
        <w:rPr>
          <w:rStyle w:val="11"/>
          <w:rFonts w:hint="eastAsia"/>
        </w:rPr>
        <w:t>四、加强干部队伍建设，切实防范履职风险</w:t>
      </w:r>
    </w:p>
    <w:p>
      <w:pPr>
        <w:spacing w:line="520" w:lineRule="exact"/>
        <w:jc w:val="left"/>
        <w:rPr>
          <w:rFonts w:hint="eastAsia" w:ascii="楷体" w:hAnsi="楷体" w:eastAsia="楷体" w:cs="楷体"/>
          <w:color w:val="000000"/>
          <w:sz w:val="32"/>
          <w:szCs w:val="32"/>
        </w:rPr>
      </w:pPr>
    </w:p>
    <w:p>
      <w:pPr>
        <w:numPr>
          <w:ilvl w:val="0"/>
          <w:numId w:val="3"/>
        </w:numPr>
        <w:rPr>
          <w:rFonts w:ascii="黑体" w:hAnsi="黑体" w:eastAsia="黑体" w:cs="仿宋"/>
          <w:sz w:val="32"/>
          <w:szCs w:val="32"/>
        </w:rPr>
      </w:pPr>
      <w:r>
        <w:rPr>
          <w:rFonts w:hint="eastAsia" w:ascii="黑体" w:hAnsi="黑体" w:eastAsia="黑体" w:cs="仿宋"/>
          <w:sz w:val="32"/>
          <w:szCs w:val="32"/>
        </w:rPr>
        <w:t>部门职责</w:t>
      </w:r>
      <w:r>
        <w:rPr>
          <w:rFonts w:ascii="黑体" w:hAnsi="黑体" w:eastAsia="黑体" w:cs="仿宋"/>
          <w:sz w:val="32"/>
          <w:szCs w:val="32"/>
        </w:rPr>
        <w:t>-</w:t>
      </w:r>
      <w:r>
        <w:rPr>
          <w:rFonts w:hint="eastAsia" w:ascii="黑体" w:hAnsi="黑体" w:eastAsia="黑体" w:cs="仿宋"/>
          <w:sz w:val="32"/>
          <w:szCs w:val="32"/>
        </w:rPr>
        <w:t>工作活动绩效目标</w:t>
      </w:r>
    </w:p>
    <w:p>
      <w:pPr>
        <w:rPr>
          <w:rFonts w:ascii="黑体" w:hAnsi="黑体" w:eastAsia="黑体" w:cs="仿宋"/>
          <w:sz w:val="32"/>
          <w:szCs w:val="32"/>
        </w:rPr>
      </w:pPr>
    </w:p>
    <w:tbl>
      <w:tblPr>
        <w:tblStyle w:val="6"/>
        <w:tblW w:w="8548" w:type="dxa"/>
        <w:tblInd w:w="0" w:type="dxa"/>
        <w:tblLayout w:type="fixed"/>
        <w:tblCellMar>
          <w:top w:w="15" w:type="dxa"/>
          <w:left w:w="15" w:type="dxa"/>
          <w:bottom w:w="15" w:type="dxa"/>
          <w:right w:w="15" w:type="dxa"/>
        </w:tblCellMar>
      </w:tblPr>
      <w:tblGrid>
        <w:gridCol w:w="840"/>
        <w:gridCol w:w="628"/>
        <w:gridCol w:w="1475"/>
        <w:gridCol w:w="970"/>
        <w:gridCol w:w="1680"/>
        <w:gridCol w:w="825"/>
        <w:gridCol w:w="720"/>
        <w:gridCol w:w="795"/>
        <w:gridCol w:w="615"/>
      </w:tblGrid>
      <w:tr>
        <w:tblPrEx>
          <w:tblLayout w:type="fixed"/>
          <w:tblCellMar>
            <w:top w:w="15" w:type="dxa"/>
            <w:left w:w="15" w:type="dxa"/>
            <w:bottom w:w="15" w:type="dxa"/>
            <w:right w:w="15" w:type="dxa"/>
          </w:tblCellMar>
        </w:tblPrEx>
        <w:trPr>
          <w:trHeight w:val="1055"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K" w:hAnsi="????_GBK" w:cs="????_GBK"/>
                <w:b/>
                <w:color w:val="000000"/>
                <w:szCs w:val="21"/>
              </w:rPr>
            </w:pPr>
            <w:r>
              <w:rPr>
                <w:rFonts w:hint="eastAsia" w:ascii="宋体" w:hAnsi="宋体" w:cs="宋体"/>
                <w:b/>
                <w:color w:val="000000"/>
                <w:kern w:val="0"/>
                <w:szCs w:val="21"/>
              </w:rPr>
              <w:t>职责活动</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K" w:hAnsi="????_GBK" w:cs="????_GBK"/>
                <w:b/>
                <w:color w:val="000000"/>
                <w:szCs w:val="21"/>
              </w:rPr>
            </w:pPr>
            <w:r>
              <w:rPr>
                <w:rFonts w:hint="eastAsia" w:ascii="宋体" w:hAnsi="宋体" w:cs="宋体"/>
                <w:b/>
                <w:color w:val="000000"/>
                <w:kern w:val="0"/>
                <w:szCs w:val="21"/>
              </w:rPr>
              <w:t>年度预算数</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K" w:hAnsi="????_GBK" w:cs="????_GBK"/>
                <w:b/>
                <w:color w:val="000000"/>
                <w:szCs w:val="21"/>
              </w:rPr>
            </w:pPr>
            <w:r>
              <w:rPr>
                <w:rFonts w:hint="eastAsia" w:ascii="宋体" w:hAnsi="宋体" w:cs="宋体"/>
                <w:b/>
                <w:color w:val="000000"/>
                <w:kern w:val="0"/>
                <w:szCs w:val="21"/>
              </w:rPr>
              <w:t>内容描述</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K" w:hAnsi="????_GBK" w:cs="????_GBK"/>
                <w:b/>
                <w:color w:val="000000"/>
                <w:szCs w:val="21"/>
              </w:rPr>
            </w:pPr>
            <w:r>
              <w:rPr>
                <w:rFonts w:hint="eastAsia" w:ascii="宋体" w:hAnsi="宋体" w:cs="宋体"/>
                <w:b/>
                <w:color w:val="000000"/>
                <w:kern w:val="0"/>
                <w:szCs w:val="21"/>
              </w:rPr>
              <w:t>绩效目标</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K" w:hAnsi="????_GBK" w:cs="????_GBK"/>
                <w:b/>
                <w:color w:val="000000"/>
                <w:szCs w:val="21"/>
              </w:rPr>
            </w:pPr>
            <w:r>
              <w:rPr>
                <w:rFonts w:hint="eastAsia" w:ascii="宋体" w:hAnsi="宋体" w:cs="宋体"/>
                <w:b/>
                <w:color w:val="000000"/>
                <w:kern w:val="0"/>
                <w:szCs w:val="21"/>
              </w:rPr>
              <w:t>绩效指标</w:t>
            </w:r>
          </w:p>
        </w:tc>
        <w:tc>
          <w:tcPr>
            <w:tcW w:w="295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K" w:hAnsi="????_GBK" w:cs="????_GBK"/>
                <w:b/>
                <w:color w:val="000000"/>
                <w:szCs w:val="21"/>
              </w:rPr>
            </w:pPr>
            <w:r>
              <w:rPr>
                <w:rFonts w:hint="eastAsia" w:ascii="宋体" w:hAnsi="宋体" w:cs="宋体"/>
                <w:b/>
                <w:color w:val="000000"/>
                <w:kern w:val="0"/>
                <w:szCs w:val="21"/>
              </w:rPr>
              <w:t>评价标准</w:t>
            </w:r>
          </w:p>
        </w:tc>
      </w:tr>
      <w:tr>
        <w:tblPrEx>
          <w:tblLayout w:type="fixed"/>
          <w:tblCellMar>
            <w:top w:w="15" w:type="dxa"/>
            <w:left w:w="15" w:type="dxa"/>
            <w:bottom w:w="15" w:type="dxa"/>
            <w:right w:w="15" w:type="dxa"/>
          </w:tblCellMar>
        </w:tblPrEx>
        <w:trPr>
          <w:trHeight w:val="285"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000000"/>
                <w:szCs w:val="21"/>
              </w:rPr>
            </w:pPr>
          </w:p>
        </w:tc>
        <w:tc>
          <w:tcPr>
            <w:tcW w:w="1475"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000000"/>
                <w:szCs w:val="21"/>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000000"/>
                <w:szCs w:val="21"/>
              </w:rPr>
            </w:pP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cs="Calibri"/>
                <w:color w:val="000000"/>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_GBK" w:hAnsi="????_GBK" w:cs="????_GBK"/>
                <w:b/>
                <w:color w:val="000000"/>
                <w:szCs w:val="21"/>
              </w:rPr>
            </w:pPr>
            <w:r>
              <w:rPr>
                <w:rFonts w:hint="eastAsia" w:ascii="宋体" w:hAnsi="宋体" w:cs="宋体"/>
                <w:b/>
                <w:color w:val="000000"/>
                <w:kern w:val="0"/>
                <w:szCs w:val="21"/>
              </w:rPr>
              <w:t>优</w:t>
            </w:r>
          </w:p>
        </w:tc>
        <w:tc>
          <w:tcPr>
            <w:tcW w:w="72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_GBK" w:hAnsi="????_GBK" w:cs="????_GBK"/>
                <w:b/>
                <w:color w:val="000000"/>
                <w:szCs w:val="21"/>
              </w:rPr>
            </w:pPr>
            <w:r>
              <w:rPr>
                <w:rFonts w:hint="eastAsia" w:ascii="宋体" w:hAnsi="宋体" w:cs="宋体"/>
                <w:b/>
                <w:color w:val="000000"/>
                <w:kern w:val="0"/>
                <w:szCs w:val="21"/>
              </w:rPr>
              <w:t>良</w:t>
            </w:r>
          </w:p>
        </w:tc>
        <w:tc>
          <w:tcPr>
            <w:tcW w:w="79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_GBK" w:hAnsi="????_GBK" w:cs="????_GBK"/>
                <w:b/>
                <w:color w:val="000000"/>
                <w:szCs w:val="21"/>
              </w:rPr>
            </w:pPr>
            <w:r>
              <w:rPr>
                <w:rFonts w:hint="eastAsia" w:ascii="宋体" w:hAnsi="宋体" w:cs="宋体"/>
                <w:b/>
                <w:color w:val="000000"/>
                <w:kern w:val="0"/>
                <w:szCs w:val="21"/>
              </w:rPr>
              <w:t>中</w:t>
            </w:r>
          </w:p>
        </w:tc>
        <w:tc>
          <w:tcPr>
            <w:tcW w:w="61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_GBK" w:hAnsi="????_GBK" w:cs="????_GBK"/>
                <w:b/>
                <w:color w:val="000000"/>
                <w:szCs w:val="21"/>
              </w:rPr>
            </w:pPr>
            <w:r>
              <w:rPr>
                <w:rFonts w:hint="eastAsia" w:ascii="宋体" w:hAnsi="宋体" w:cs="宋体"/>
                <w:b/>
                <w:color w:val="000000"/>
                <w:kern w:val="0"/>
                <w:szCs w:val="21"/>
              </w:rPr>
              <w:t>差</w:t>
            </w:r>
          </w:p>
        </w:tc>
      </w:tr>
      <w:tr>
        <w:tblPrEx>
          <w:tblLayout w:type="fixed"/>
          <w:tblCellMar>
            <w:top w:w="15" w:type="dxa"/>
            <w:left w:w="15" w:type="dxa"/>
            <w:bottom w:w="15" w:type="dxa"/>
            <w:right w:w="15" w:type="dxa"/>
          </w:tblCellMar>
        </w:tblPrEx>
        <w:trPr>
          <w:trHeight w:val="420" w:hRule="atLeast"/>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政府采购管理</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30</w:t>
            </w:r>
          </w:p>
        </w:tc>
        <w:tc>
          <w:tcPr>
            <w:tcW w:w="1475" w:type="dxa"/>
            <w:vMerge w:val="restart"/>
            <w:tcBorders>
              <w:top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审核部门政府采购预算；政府采购方式管理；政府采购代理机构监管；监督检查政府采购活动。</w:t>
            </w:r>
          </w:p>
        </w:tc>
        <w:tc>
          <w:tcPr>
            <w:tcW w:w="9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政采预算按时审核，采购方式按时正确核准，采购活动监管到位。</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政府采购活动监管完成率</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100%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95%</w:t>
            </w:r>
            <w:r>
              <w:rPr>
                <w:rFonts w:hint="eastAsia" w:ascii="宋体" w:hAnsi="宋体" w:cs="宋体"/>
                <w:color w:val="000000"/>
                <w:kern w:val="0"/>
                <w:sz w:val="18"/>
                <w:szCs w:val="18"/>
              </w:rPr>
              <w:t>以上</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90%</w:t>
            </w:r>
            <w:r>
              <w:rPr>
                <w:rFonts w:hint="eastAsia" w:ascii="宋体" w:hAnsi="宋体" w:cs="宋体"/>
                <w:color w:val="000000"/>
                <w:kern w:val="0"/>
                <w:sz w:val="18"/>
                <w:szCs w:val="18"/>
              </w:rPr>
              <w:t>以上</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完成不足</w:t>
            </w:r>
            <w:r>
              <w:rPr>
                <w:rFonts w:ascii="宋体" w:hAnsi="宋体" w:cs="宋体"/>
                <w:color w:val="000000"/>
                <w:kern w:val="0"/>
                <w:sz w:val="18"/>
                <w:szCs w:val="18"/>
              </w:rPr>
              <w:t>90%</w:t>
            </w:r>
          </w:p>
        </w:tc>
      </w:tr>
      <w:tr>
        <w:tblPrEx>
          <w:tblLayout w:type="fixed"/>
          <w:tblCellMar>
            <w:top w:w="15" w:type="dxa"/>
            <w:left w:w="15" w:type="dxa"/>
            <w:bottom w:w="15" w:type="dxa"/>
            <w:right w:w="15"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8"/>
                <w:szCs w:val="18"/>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1475" w:type="dxa"/>
            <w:vMerge w:val="continue"/>
            <w:tcBorders>
              <w:top w:val="single" w:color="000000" w:sz="4" w:space="0"/>
              <w:bottom w:val="single" w:color="000000" w:sz="4" w:space="0"/>
              <w:right w:val="single" w:color="000000" w:sz="4" w:space="0"/>
            </w:tcBorders>
            <w:vAlign w:val="center"/>
          </w:tcPr>
          <w:p>
            <w:pPr>
              <w:jc w:val="left"/>
              <w:rPr>
                <w:rFonts w:ascii="宋体" w:cs="宋体"/>
                <w:color w:val="000000"/>
                <w:sz w:val="18"/>
                <w:szCs w:val="18"/>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部门政府采购预算按时审核完成率</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100%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95%</w:t>
            </w:r>
            <w:r>
              <w:rPr>
                <w:rFonts w:hint="eastAsia" w:ascii="宋体" w:hAnsi="宋体" w:cs="宋体"/>
                <w:color w:val="000000"/>
                <w:kern w:val="0"/>
                <w:sz w:val="18"/>
                <w:szCs w:val="18"/>
              </w:rPr>
              <w:t>以上</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90%</w:t>
            </w:r>
            <w:r>
              <w:rPr>
                <w:rFonts w:hint="eastAsia" w:ascii="宋体" w:hAnsi="宋体" w:cs="宋体"/>
                <w:color w:val="000000"/>
                <w:kern w:val="0"/>
                <w:sz w:val="18"/>
                <w:szCs w:val="18"/>
              </w:rPr>
              <w:t>以上</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完成不足</w:t>
            </w:r>
            <w:r>
              <w:rPr>
                <w:rFonts w:ascii="宋体" w:hAnsi="宋体" w:cs="宋体"/>
                <w:color w:val="000000"/>
                <w:kern w:val="0"/>
                <w:sz w:val="18"/>
                <w:szCs w:val="18"/>
              </w:rPr>
              <w:t>90%</w:t>
            </w:r>
          </w:p>
        </w:tc>
      </w:tr>
      <w:tr>
        <w:tblPrEx>
          <w:tblLayout w:type="fixed"/>
          <w:tblCellMar>
            <w:top w:w="15" w:type="dxa"/>
            <w:left w:w="15" w:type="dxa"/>
            <w:bottom w:w="15" w:type="dxa"/>
            <w:right w:w="15"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8"/>
                <w:szCs w:val="18"/>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1475" w:type="dxa"/>
            <w:vMerge w:val="continue"/>
            <w:tcBorders>
              <w:top w:val="single" w:color="000000" w:sz="4" w:space="0"/>
              <w:bottom w:val="single" w:color="000000" w:sz="4" w:space="0"/>
              <w:right w:val="single" w:color="000000" w:sz="4" w:space="0"/>
            </w:tcBorders>
            <w:vAlign w:val="center"/>
          </w:tcPr>
          <w:p>
            <w:pPr>
              <w:jc w:val="left"/>
              <w:rPr>
                <w:rFonts w:ascii="宋体" w:cs="宋体"/>
                <w:color w:val="000000"/>
                <w:sz w:val="18"/>
                <w:szCs w:val="18"/>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政府采购方式按时核准完成率</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100%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95%</w:t>
            </w:r>
            <w:r>
              <w:rPr>
                <w:rFonts w:hint="eastAsia" w:ascii="宋体" w:hAnsi="宋体" w:cs="宋体"/>
                <w:color w:val="000000"/>
                <w:kern w:val="0"/>
                <w:sz w:val="18"/>
                <w:szCs w:val="18"/>
              </w:rPr>
              <w:t>以上</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90%</w:t>
            </w:r>
            <w:r>
              <w:rPr>
                <w:rFonts w:hint="eastAsia" w:ascii="宋体" w:hAnsi="宋体" w:cs="宋体"/>
                <w:color w:val="000000"/>
                <w:kern w:val="0"/>
                <w:sz w:val="18"/>
                <w:szCs w:val="18"/>
              </w:rPr>
              <w:t>以上</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完成不足</w:t>
            </w:r>
            <w:r>
              <w:rPr>
                <w:rFonts w:ascii="宋体" w:hAnsi="宋体" w:cs="宋体"/>
                <w:color w:val="000000"/>
                <w:kern w:val="0"/>
                <w:sz w:val="18"/>
                <w:szCs w:val="18"/>
              </w:rPr>
              <w:t>90%</w:t>
            </w:r>
          </w:p>
        </w:tc>
      </w:tr>
      <w:tr>
        <w:tblPrEx>
          <w:tblLayout w:type="fixed"/>
        </w:tblPrEx>
        <w:trPr>
          <w:trHeight w:val="132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b/>
                <w:color w:val="000000"/>
                <w:sz w:val="18"/>
                <w:szCs w:val="18"/>
              </w:rPr>
            </w:pPr>
            <w:r>
              <w:rPr>
                <w:rFonts w:hint="eastAsia" w:ascii="宋体" w:hAnsi="宋体" w:cs="宋体"/>
                <w:b/>
                <w:color w:val="000000"/>
                <w:kern w:val="0"/>
                <w:sz w:val="18"/>
                <w:szCs w:val="18"/>
              </w:rPr>
              <w:t>非税收入政策管理</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64</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负责政府非税收入和政府性基金管理，按规定管理行政事业性收费；管理财政票据。</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进一步完善非税收入政策制度，深入开展规范清理行政事业性收费项目工作，实现非税收入管理规范化、科学化发展。</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收费项目目录调整及时性</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按时完成。</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延迟</w:t>
            </w:r>
            <w:r>
              <w:rPr>
                <w:rFonts w:ascii="宋体" w:hAnsi="宋体" w:cs="宋体"/>
                <w:color w:val="000000"/>
                <w:kern w:val="0"/>
                <w:sz w:val="18"/>
                <w:szCs w:val="18"/>
              </w:rPr>
              <w:t xml:space="preserve">5 </w:t>
            </w:r>
            <w:r>
              <w:rPr>
                <w:rFonts w:hint="eastAsia" w:ascii="宋体" w:hAnsi="宋体" w:cs="宋体"/>
                <w:color w:val="000000"/>
                <w:kern w:val="0"/>
                <w:sz w:val="18"/>
                <w:szCs w:val="18"/>
              </w:rPr>
              <w:t>天以内</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延迟</w:t>
            </w:r>
            <w:r>
              <w:rPr>
                <w:rFonts w:ascii="宋体" w:hAnsi="宋体" w:cs="宋体"/>
                <w:color w:val="000000"/>
                <w:kern w:val="0"/>
                <w:sz w:val="18"/>
                <w:szCs w:val="18"/>
              </w:rPr>
              <w:t xml:space="preserve">10 </w:t>
            </w:r>
            <w:r>
              <w:rPr>
                <w:rFonts w:hint="eastAsia" w:ascii="宋体" w:hAnsi="宋体" w:cs="宋体"/>
                <w:color w:val="000000"/>
                <w:kern w:val="0"/>
                <w:sz w:val="18"/>
                <w:szCs w:val="18"/>
              </w:rPr>
              <w:t>天以内</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延迟</w:t>
            </w:r>
            <w:r>
              <w:rPr>
                <w:rFonts w:ascii="宋体" w:hAnsi="宋体" w:cs="宋体"/>
                <w:color w:val="000000"/>
                <w:kern w:val="0"/>
                <w:sz w:val="18"/>
                <w:szCs w:val="18"/>
              </w:rPr>
              <w:t xml:space="preserve">10 </w:t>
            </w:r>
            <w:r>
              <w:rPr>
                <w:rFonts w:hint="eastAsia" w:ascii="宋体" w:hAnsi="宋体" w:cs="宋体"/>
                <w:color w:val="000000"/>
                <w:kern w:val="0"/>
                <w:sz w:val="18"/>
                <w:szCs w:val="18"/>
              </w:rPr>
              <w:t>天以上</w:t>
            </w:r>
          </w:p>
        </w:tc>
      </w:tr>
      <w:tr>
        <w:tblPrEx>
          <w:tblLayout w:type="fixed"/>
          <w:tblCellMar>
            <w:top w:w="15" w:type="dxa"/>
            <w:left w:w="15" w:type="dxa"/>
            <w:bottom w:w="15" w:type="dxa"/>
            <w:right w:w="15" w:type="dxa"/>
          </w:tblCellMar>
        </w:tblPrEx>
        <w:trPr>
          <w:trHeight w:val="1140" w:hRule="atLeast"/>
        </w:trPr>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综合业务管理</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w:t>
            </w:r>
          </w:p>
        </w:tc>
        <w:tc>
          <w:tcPr>
            <w:tcW w:w="1475" w:type="dxa"/>
            <w:tcBorders>
              <w:top w:val="single" w:color="000000" w:sz="4" w:space="0"/>
              <w:left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指导财政系统业务活动和事业发展；加强财政法制建设；开展财税政策研究；深化财政改革。</w:t>
            </w:r>
          </w:p>
        </w:tc>
        <w:tc>
          <w:tcPr>
            <w:tcW w:w="970" w:type="dxa"/>
            <w:tcBorders>
              <w:top w:val="single" w:color="000000" w:sz="4" w:space="0"/>
              <w:left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信息发布正确及时，推进改革研究深入。</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及时科学处理综合事项，各项工作无差错。按时办理与上下级财政的工作联络事项，依法发布财政信息，按时完成领导交办的改革研究拟定工作。</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98%</w:t>
            </w:r>
            <w:r>
              <w:rPr>
                <w:rFonts w:hint="eastAsia" w:ascii="宋体" w:hAnsi="宋体" w:cs="宋体"/>
                <w:color w:val="000000"/>
                <w:kern w:val="0"/>
                <w:sz w:val="18"/>
                <w:szCs w:val="18"/>
              </w:rPr>
              <w:t>以上</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cs="宋体"/>
                <w:color w:val="000000"/>
                <w:kern w:val="0"/>
                <w:sz w:val="18"/>
                <w:szCs w:val="18"/>
              </w:rPr>
              <w:br w:type="textWrapping"/>
            </w:r>
            <w:r>
              <w:rPr>
                <w:rFonts w:ascii="宋体" w:hAnsi="宋体" w:cs="宋体"/>
                <w:color w:val="000000"/>
                <w:kern w:val="0"/>
                <w:sz w:val="18"/>
                <w:szCs w:val="18"/>
              </w:rPr>
              <w:t>90%</w:t>
            </w:r>
            <w:r>
              <w:rPr>
                <w:rFonts w:ascii="宋体" w:hAnsi="宋体" w:cs="宋体"/>
                <w:color w:val="000000"/>
                <w:kern w:val="0"/>
                <w:sz w:val="18"/>
                <w:szCs w:val="18"/>
              </w:rPr>
              <w:br w:type="textWrapping"/>
            </w:r>
            <w:r>
              <w:rPr>
                <w:rFonts w:hint="eastAsia" w:ascii="宋体" w:hAnsi="宋体" w:cs="宋体"/>
                <w:color w:val="000000"/>
                <w:kern w:val="0"/>
                <w:sz w:val="18"/>
                <w:szCs w:val="18"/>
              </w:rPr>
              <w:t>以上</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cs="宋体"/>
                <w:color w:val="000000"/>
                <w:kern w:val="0"/>
                <w:sz w:val="18"/>
                <w:szCs w:val="18"/>
              </w:rPr>
              <w:br w:type="textWrapping"/>
            </w:r>
            <w:r>
              <w:rPr>
                <w:rFonts w:ascii="宋体" w:hAnsi="宋体" w:cs="宋体"/>
                <w:color w:val="000000"/>
                <w:kern w:val="0"/>
                <w:sz w:val="18"/>
                <w:szCs w:val="18"/>
              </w:rPr>
              <w:t>80%</w:t>
            </w:r>
            <w:r>
              <w:rPr>
                <w:rFonts w:ascii="宋体" w:hAnsi="宋体" w:cs="宋体"/>
                <w:color w:val="000000"/>
                <w:kern w:val="0"/>
                <w:sz w:val="18"/>
                <w:szCs w:val="18"/>
              </w:rPr>
              <w:br w:type="textWrapping"/>
            </w:r>
            <w:r>
              <w:rPr>
                <w:rFonts w:hint="eastAsia" w:ascii="宋体" w:hAnsi="宋体" w:cs="宋体"/>
                <w:color w:val="000000"/>
                <w:kern w:val="0"/>
                <w:sz w:val="18"/>
                <w:szCs w:val="18"/>
              </w:rPr>
              <w:t>以上</w:t>
            </w:r>
          </w:p>
        </w:tc>
        <w:tc>
          <w:tcPr>
            <w:tcW w:w="6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完成不足</w:t>
            </w:r>
            <w:r>
              <w:rPr>
                <w:rFonts w:ascii="宋体" w:hAnsi="宋体" w:cs="宋体"/>
                <w:color w:val="000000"/>
                <w:kern w:val="0"/>
                <w:sz w:val="18"/>
                <w:szCs w:val="18"/>
              </w:rPr>
              <w:t>80%</w:t>
            </w:r>
          </w:p>
        </w:tc>
      </w:tr>
      <w:tr>
        <w:tblPrEx>
          <w:tblLayout w:type="fixed"/>
          <w:tblCellMar>
            <w:top w:w="15" w:type="dxa"/>
            <w:left w:w="15" w:type="dxa"/>
            <w:bottom w:w="15" w:type="dxa"/>
            <w:right w:w="15" w:type="dxa"/>
          </w:tblCellMar>
        </w:tblPrEx>
        <w:trPr>
          <w:trHeight w:val="114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综合治税管理</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60</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协调有关部门，加强涉税信息的采集、分析和利用，开展税收专项清查，强化税源管控，促进财政稳定增收和税收环境的优化。审核减免税、退税等事项，履行上报手续。负责税务经费和综合治税经费的支出管理。落实综合治税各项检查。</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不断提升税源管控水平，促进税收质量的提高和税收环境的优化。保障两税经费。</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涉税信息共享系统建设情况，通过信息利用全面管控税源情况，重点税源堵漏增收情况。按时完成减免税、经费拨付事项。</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年度涉税信息共享系统建设任务完成，退税额度，预算指标经费拨付</w:t>
            </w:r>
            <w:r>
              <w:rPr>
                <w:rFonts w:ascii="宋体" w:hAnsi="宋体" w:cs="宋体"/>
                <w:color w:val="000000"/>
                <w:kern w:val="0"/>
                <w:sz w:val="18"/>
                <w:szCs w:val="18"/>
              </w:rPr>
              <w:t>100%</w:t>
            </w:r>
            <w:r>
              <w:rPr>
                <w:rFonts w:hint="eastAsia" w:ascii="宋体" w:hAnsi="宋体" w:cs="宋体"/>
                <w:color w:val="000000"/>
                <w:kern w:val="0"/>
                <w:sz w:val="18"/>
                <w:szCs w:val="18"/>
              </w:rPr>
              <w:t>。</w:t>
            </w:r>
          </w:p>
        </w:tc>
        <w:tc>
          <w:tcPr>
            <w:tcW w:w="7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18"/>
                <w:szCs w:val="18"/>
              </w:rPr>
            </w:pPr>
            <w:r>
              <w:rPr>
                <w:rFonts w:hint="eastAsia" w:ascii="宋体" w:hAnsi="宋体" w:cs="宋体"/>
                <w:color w:val="000000"/>
                <w:kern w:val="0"/>
                <w:sz w:val="18"/>
                <w:szCs w:val="18"/>
              </w:rPr>
              <w:t>年度涉税信息共享系统建设任务完成退税额度，预算指标经费拨付</w:t>
            </w:r>
            <w:r>
              <w:rPr>
                <w:rFonts w:ascii="宋体" w:hAnsi="宋体" w:cs="宋体"/>
                <w:color w:val="000000"/>
                <w:kern w:val="0"/>
                <w:sz w:val="18"/>
                <w:szCs w:val="18"/>
              </w:rPr>
              <w:t>90%</w:t>
            </w:r>
            <w:r>
              <w:rPr>
                <w:rFonts w:hint="eastAsia" w:ascii="宋体" w:hAnsi="宋体" w:cs="宋体"/>
                <w:color w:val="000000"/>
                <w:kern w:val="0"/>
                <w:sz w:val="18"/>
                <w:szCs w:val="18"/>
              </w:rPr>
              <w:t>。</w:t>
            </w:r>
          </w:p>
        </w:tc>
        <w:tc>
          <w:tcPr>
            <w:tcW w:w="79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18"/>
                <w:szCs w:val="18"/>
              </w:rPr>
            </w:pPr>
            <w:r>
              <w:rPr>
                <w:rFonts w:hint="eastAsia" w:ascii="宋体" w:hAnsi="宋体" w:cs="宋体"/>
                <w:color w:val="000000"/>
                <w:kern w:val="0"/>
                <w:sz w:val="18"/>
                <w:szCs w:val="18"/>
              </w:rPr>
              <w:t>年度涉税信息共享系统建任务完成退税额度，预算指标经费拨付</w:t>
            </w:r>
            <w:r>
              <w:rPr>
                <w:rFonts w:ascii="宋体" w:hAnsi="宋体" w:cs="宋体"/>
                <w:color w:val="000000"/>
                <w:kern w:val="0"/>
                <w:sz w:val="18"/>
                <w:szCs w:val="18"/>
              </w:rPr>
              <w:t>80%</w:t>
            </w:r>
            <w:r>
              <w:rPr>
                <w:rFonts w:hint="eastAsia" w:ascii="宋体" w:hAnsi="宋体" w:cs="宋体"/>
                <w:color w:val="000000"/>
                <w:kern w:val="0"/>
                <w:sz w:val="18"/>
                <w:szCs w:val="18"/>
              </w:rPr>
              <w:t>。</w:t>
            </w:r>
          </w:p>
        </w:tc>
        <w:tc>
          <w:tcPr>
            <w:tcW w:w="61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18"/>
                <w:szCs w:val="18"/>
              </w:rPr>
            </w:pPr>
            <w:r>
              <w:rPr>
                <w:rFonts w:hint="eastAsia" w:ascii="宋体" w:hAnsi="宋体" w:cs="宋体"/>
                <w:color w:val="000000"/>
                <w:kern w:val="0"/>
                <w:sz w:val="18"/>
                <w:szCs w:val="18"/>
              </w:rPr>
              <w:t>年度涉税信息共享系统建设任务完成退税额度，预算指标经费拨付</w:t>
            </w:r>
            <w:r>
              <w:rPr>
                <w:rFonts w:ascii="宋体" w:hAnsi="宋体" w:cs="宋体"/>
                <w:color w:val="000000"/>
                <w:kern w:val="0"/>
                <w:sz w:val="18"/>
                <w:szCs w:val="18"/>
              </w:rPr>
              <w:t>80%</w:t>
            </w:r>
            <w:r>
              <w:rPr>
                <w:rFonts w:hint="eastAsia" w:ascii="宋体" w:hAnsi="宋体" w:cs="宋体"/>
                <w:color w:val="000000"/>
                <w:kern w:val="0"/>
                <w:sz w:val="18"/>
                <w:szCs w:val="18"/>
              </w:rPr>
              <w:t>以下。</w:t>
            </w:r>
          </w:p>
        </w:tc>
      </w:tr>
      <w:tr>
        <w:tblPrEx>
          <w:tblLayout w:type="fixed"/>
          <w:tblCellMar>
            <w:top w:w="15" w:type="dxa"/>
            <w:left w:w="15" w:type="dxa"/>
            <w:bottom w:w="15" w:type="dxa"/>
            <w:right w:w="15"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国库管理</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30</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财政库款调度；财政专户资金审核拨付；预算执行分析；财政总预算会计，本级决算；国管预算单位银行账户。</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财政国库管理科学，数据准确。</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r>
      <w:tr>
        <w:tblPrEx>
          <w:tblLayout w:type="fixed"/>
          <w:tblCellMar>
            <w:top w:w="15" w:type="dxa"/>
            <w:left w:w="15" w:type="dxa"/>
            <w:bottom w:w="15" w:type="dxa"/>
            <w:right w:w="15"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综合事务管</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80</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会议组织管理、信息化建设与维护、机关财务和资产管理、标准化建设、大型设备购置、人事管理及干部教育培训、机关党委工作、老干部工作等。负责事业单位管理工作。</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机关协调运行，事业单位工作正常开展，思想政治工作深入，后勤服务保障有力。</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机关各项活动有序开展，信息系统和后勤设施正常运行。</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机关工作有序运行，干部职工满意。</w:t>
            </w:r>
          </w:p>
        </w:tc>
        <w:tc>
          <w:tcPr>
            <w:tcW w:w="7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18"/>
                <w:szCs w:val="18"/>
              </w:rPr>
            </w:pPr>
            <w:r>
              <w:rPr>
                <w:rFonts w:hint="eastAsia" w:ascii="宋体" w:hAnsi="宋体" w:cs="宋体"/>
                <w:color w:val="000000"/>
                <w:kern w:val="0"/>
                <w:sz w:val="18"/>
                <w:szCs w:val="18"/>
              </w:rPr>
              <w:t>机关工作有序运行，干部职工满意。</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机关工作正常运行，干部职工基本满意。</w:t>
            </w:r>
          </w:p>
        </w:tc>
        <w:tc>
          <w:tcPr>
            <w:tcW w:w="61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18"/>
                <w:szCs w:val="18"/>
              </w:rPr>
            </w:pPr>
            <w:r>
              <w:rPr>
                <w:rFonts w:hint="eastAsia" w:ascii="宋体" w:hAnsi="宋体" w:cs="宋体"/>
                <w:color w:val="000000"/>
                <w:kern w:val="0"/>
                <w:sz w:val="18"/>
                <w:szCs w:val="18"/>
              </w:rPr>
              <w:t>设备维护不到位，影响正常运行</w:t>
            </w:r>
            <w:r>
              <w:rPr>
                <w:rFonts w:ascii="宋体" w:hAnsi="宋体" w:cs="宋体"/>
                <w:color w:val="000000"/>
                <w:kern w:val="0"/>
                <w:sz w:val="18"/>
                <w:szCs w:val="18"/>
              </w:rPr>
              <w:t xml:space="preserve">2 </w:t>
            </w:r>
            <w:r>
              <w:rPr>
                <w:rFonts w:hint="eastAsia" w:ascii="宋体" w:hAnsi="宋体" w:cs="宋体"/>
                <w:color w:val="000000"/>
                <w:kern w:val="0"/>
                <w:sz w:val="18"/>
                <w:szCs w:val="18"/>
              </w:rPr>
              <w:t>次以上。</w:t>
            </w:r>
          </w:p>
        </w:tc>
      </w:tr>
      <w:tr>
        <w:tblPrEx>
          <w:tblLayout w:type="fixed"/>
          <w:tblCellMar>
            <w:top w:w="15" w:type="dxa"/>
            <w:left w:w="15" w:type="dxa"/>
            <w:bottom w:w="15" w:type="dxa"/>
            <w:right w:w="15"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财务会计管理</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50</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管理会计工作，监督和规范会计行为。</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不断提升会计管理工作水平</w:t>
            </w:r>
          </w:p>
        </w:tc>
        <w:tc>
          <w:tcPr>
            <w:tcW w:w="16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8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6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r>
      <w:tr>
        <w:tblPrEx>
          <w:tblLayout w:type="fixed"/>
        </w:tblPrEx>
        <w:trPr>
          <w:trHeight w:val="720" w:hRule="atLeast"/>
        </w:trPr>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 w:val="18"/>
                <w:szCs w:val="18"/>
              </w:rPr>
            </w:pPr>
            <w:r>
              <w:rPr>
                <w:rFonts w:hint="eastAsia" w:ascii="宋体" w:hAnsi="宋体" w:cs="宋体"/>
                <w:b/>
                <w:color w:val="000000"/>
                <w:kern w:val="0"/>
                <w:sz w:val="18"/>
                <w:szCs w:val="18"/>
              </w:rPr>
              <w:t>农村综合改革</w:t>
            </w:r>
          </w:p>
        </w:tc>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ascii="宋体" w:hAnsi="宋体" w:cs="宋体"/>
                <w:color w:val="000000"/>
                <w:kern w:val="0"/>
                <w:sz w:val="18"/>
                <w:szCs w:val="18"/>
              </w:rPr>
              <w:t>20</w:t>
            </w:r>
          </w:p>
        </w:tc>
        <w:tc>
          <w:tcPr>
            <w:tcW w:w="14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18"/>
                <w:szCs w:val="18"/>
              </w:rPr>
            </w:pPr>
            <w:r>
              <w:rPr>
                <w:rFonts w:hint="eastAsia" w:ascii="宋体" w:hAnsi="宋体" w:cs="宋体"/>
                <w:color w:val="000000"/>
                <w:kern w:val="0"/>
                <w:sz w:val="18"/>
                <w:szCs w:val="18"/>
              </w:rPr>
              <w:t>推动村级公益事业建设一事一议财政奖补、农村公共服务运行维护机制建设试点</w:t>
            </w:r>
          </w:p>
        </w:tc>
        <w:tc>
          <w:tcPr>
            <w:tcW w:w="9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促进城乡公共服务均等化水平进一步提高，农村村内户外公益事业建设进一步加强，试点村村民生活环境进一步改善</w:t>
            </w:r>
            <w:r>
              <w:rPr>
                <w:rFonts w:ascii="宋体" w:cs="宋体"/>
                <w:color w:val="000000"/>
                <w:kern w:val="0"/>
                <w:sz w:val="18"/>
                <w:szCs w:val="18"/>
              </w:rPr>
              <w:t>,</w:t>
            </w:r>
            <w:r>
              <w:rPr>
                <w:rFonts w:hint="eastAsia" w:ascii="宋体" w:hAnsi="宋体" w:cs="宋体"/>
                <w:color w:val="000000"/>
                <w:kern w:val="0"/>
                <w:sz w:val="18"/>
                <w:szCs w:val="18"/>
              </w:rPr>
              <w:t>城乡一体化、公共服务均等化进一步提高。</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农村公共服务运行维护机制建设试点资金及时下达拨付。</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试点村名单或数量确定后</w:t>
            </w:r>
            <w:r>
              <w:rPr>
                <w:rFonts w:ascii="宋体" w:hAnsi="宋体" w:cs="宋体"/>
                <w:color w:val="000000"/>
                <w:kern w:val="0"/>
                <w:sz w:val="18"/>
                <w:szCs w:val="18"/>
              </w:rPr>
              <w:t xml:space="preserve"> 30</w:t>
            </w:r>
            <w:r>
              <w:rPr>
                <w:rFonts w:hint="eastAsia" w:ascii="宋体" w:hAnsi="宋体" w:cs="宋体"/>
                <w:color w:val="000000"/>
                <w:kern w:val="0"/>
                <w:sz w:val="18"/>
                <w:szCs w:val="18"/>
              </w:rPr>
              <w:t>日内下达资金</w:t>
            </w:r>
          </w:p>
        </w:tc>
        <w:tc>
          <w:tcPr>
            <w:tcW w:w="7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18"/>
                <w:szCs w:val="18"/>
              </w:rPr>
            </w:pPr>
            <w:r>
              <w:rPr>
                <w:rFonts w:hint="eastAsia" w:ascii="宋体" w:hAnsi="宋体" w:cs="宋体"/>
                <w:color w:val="000000"/>
                <w:kern w:val="0"/>
                <w:sz w:val="18"/>
                <w:szCs w:val="18"/>
              </w:rPr>
              <w:t>试点村名单或数量确定后</w:t>
            </w:r>
            <w:r>
              <w:rPr>
                <w:rFonts w:ascii="宋体" w:hAnsi="宋体" w:cs="宋体"/>
                <w:color w:val="000000"/>
                <w:kern w:val="0"/>
                <w:sz w:val="18"/>
                <w:szCs w:val="18"/>
              </w:rPr>
              <w:t xml:space="preserve"> 40</w:t>
            </w:r>
            <w:r>
              <w:rPr>
                <w:rFonts w:hint="eastAsia" w:ascii="宋体" w:hAnsi="宋体" w:cs="宋体"/>
                <w:color w:val="000000"/>
                <w:kern w:val="0"/>
                <w:sz w:val="18"/>
                <w:szCs w:val="18"/>
              </w:rPr>
              <w:t>日内下达资金</w:t>
            </w:r>
          </w:p>
        </w:tc>
        <w:tc>
          <w:tcPr>
            <w:tcW w:w="79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18"/>
                <w:szCs w:val="18"/>
              </w:rPr>
            </w:pPr>
            <w:r>
              <w:rPr>
                <w:rFonts w:hint="eastAsia" w:ascii="宋体" w:hAnsi="宋体" w:cs="宋体"/>
                <w:color w:val="000000"/>
                <w:kern w:val="0"/>
                <w:sz w:val="18"/>
                <w:szCs w:val="18"/>
              </w:rPr>
              <w:t>试点村名单或数量确定后</w:t>
            </w:r>
            <w:r>
              <w:rPr>
                <w:rFonts w:ascii="宋体" w:hAnsi="宋体" w:cs="宋体"/>
                <w:color w:val="000000"/>
                <w:kern w:val="0"/>
                <w:sz w:val="18"/>
                <w:szCs w:val="18"/>
              </w:rPr>
              <w:t xml:space="preserve"> 50</w:t>
            </w:r>
            <w:r>
              <w:rPr>
                <w:rFonts w:hint="eastAsia" w:ascii="宋体" w:hAnsi="宋体" w:cs="宋体"/>
                <w:color w:val="000000"/>
                <w:kern w:val="0"/>
                <w:sz w:val="18"/>
                <w:szCs w:val="18"/>
              </w:rPr>
              <w:t>日内下达资金</w:t>
            </w:r>
          </w:p>
        </w:tc>
        <w:tc>
          <w:tcPr>
            <w:tcW w:w="61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18"/>
                <w:szCs w:val="18"/>
              </w:rPr>
            </w:pPr>
            <w:r>
              <w:rPr>
                <w:rFonts w:hint="eastAsia" w:ascii="宋体" w:hAnsi="宋体" w:cs="宋体"/>
                <w:color w:val="000000"/>
                <w:kern w:val="0"/>
                <w:sz w:val="18"/>
                <w:szCs w:val="18"/>
              </w:rPr>
              <w:t>试点村名单或数量确定后超</w:t>
            </w:r>
            <w:r>
              <w:rPr>
                <w:rFonts w:ascii="宋体" w:hAnsi="宋体" w:cs="宋体"/>
                <w:color w:val="000000"/>
                <w:kern w:val="0"/>
                <w:sz w:val="18"/>
                <w:szCs w:val="18"/>
              </w:rPr>
              <w:t xml:space="preserve">50 </w:t>
            </w:r>
            <w:r>
              <w:rPr>
                <w:rFonts w:hint="eastAsia" w:ascii="宋体" w:hAnsi="宋体" w:cs="宋体"/>
                <w:color w:val="000000"/>
                <w:kern w:val="0"/>
                <w:sz w:val="18"/>
                <w:szCs w:val="18"/>
              </w:rPr>
              <w:t>日下达资金</w:t>
            </w:r>
          </w:p>
        </w:tc>
      </w:tr>
      <w:tr>
        <w:tblPrEx>
          <w:tblLayout w:type="fixed"/>
          <w:tblCellMar>
            <w:top w:w="15" w:type="dxa"/>
            <w:left w:w="15" w:type="dxa"/>
            <w:bottom w:w="15" w:type="dxa"/>
            <w:right w:w="15" w:type="dxa"/>
          </w:tblCellMar>
        </w:tblPrEx>
        <w:trPr>
          <w:trHeight w:val="720" w:hRule="atLeas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8"/>
                <w:szCs w:val="18"/>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8"/>
                <w:szCs w:val="18"/>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“一事一议”项目顺利实施。</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完成</w:t>
            </w:r>
            <w:r>
              <w:rPr>
                <w:rFonts w:ascii="宋体" w:hAnsi="宋体" w:cs="宋体"/>
                <w:color w:val="000000"/>
                <w:kern w:val="0"/>
                <w:sz w:val="18"/>
                <w:szCs w:val="18"/>
              </w:rPr>
              <w:t>90%</w:t>
            </w:r>
            <w:r>
              <w:rPr>
                <w:rFonts w:hint="eastAsia" w:ascii="宋体" w:hAnsi="宋体" w:cs="宋体"/>
                <w:color w:val="000000"/>
                <w:kern w:val="0"/>
                <w:sz w:val="18"/>
                <w:szCs w:val="18"/>
              </w:rPr>
              <w:t>以上</w:t>
            </w:r>
          </w:p>
        </w:tc>
        <w:tc>
          <w:tcPr>
            <w:tcW w:w="7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18"/>
                <w:szCs w:val="18"/>
              </w:rPr>
            </w:pPr>
            <w:r>
              <w:rPr>
                <w:rFonts w:hint="eastAsia" w:ascii="宋体" w:hAnsi="宋体" w:cs="宋体"/>
                <w:color w:val="000000"/>
                <w:kern w:val="0"/>
                <w:sz w:val="18"/>
                <w:szCs w:val="18"/>
              </w:rPr>
              <w:t>完成</w:t>
            </w:r>
            <w:r>
              <w:rPr>
                <w:rFonts w:ascii="宋体" w:cs="宋体"/>
                <w:color w:val="000000"/>
                <w:kern w:val="0"/>
                <w:sz w:val="18"/>
                <w:szCs w:val="18"/>
              </w:rPr>
              <w:br w:type="textWrapping"/>
            </w:r>
            <w:r>
              <w:rPr>
                <w:rFonts w:ascii="宋体" w:hAnsi="宋体" w:cs="宋体"/>
                <w:color w:val="000000"/>
                <w:kern w:val="0"/>
                <w:sz w:val="18"/>
                <w:szCs w:val="18"/>
              </w:rPr>
              <w:t>85%</w:t>
            </w:r>
            <w:r>
              <w:rPr>
                <w:rFonts w:hint="eastAsia" w:ascii="宋体" w:hAnsi="宋体" w:cs="宋体"/>
                <w:color w:val="000000"/>
                <w:kern w:val="0"/>
                <w:sz w:val="18"/>
                <w:szCs w:val="18"/>
              </w:rPr>
              <w:t>以上</w:t>
            </w:r>
          </w:p>
        </w:tc>
        <w:tc>
          <w:tcPr>
            <w:tcW w:w="79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18"/>
                <w:szCs w:val="18"/>
              </w:rPr>
            </w:pPr>
            <w:r>
              <w:rPr>
                <w:rFonts w:hint="eastAsia" w:ascii="宋体" w:hAnsi="宋体" w:cs="宋体"/>
                <w:color w:val="000000"/>
                <w:kern w:val="0"/>
                <w:sz w:val="18"/>
                <w:szCs w:val="18"/>
              </w:rPr>
              <w:t>完成</w:t>
            </w:r>
            <w:r>
              <w:rPr>
                <w:rFonts w:ascii="宋体" w:cs="宋体"/>
                <w:color w:val="000000"/>
                <w:kern w:val="0"/>
                <w:sz w:val="18"/>
                <w:szCs w:val="18"/>
              </w:rPr>
              <w:br w:type="textWrapping"/>
            </w:r>
            <w:r>
              <w:rPr>
                <w:rFonts w:ascii="宋体" w:hAnsi="宋体" w:cs="宋体"/>
                <w:color w:val="000000"/>
                <w:kern w:val="0"/>
                <w:sz w:val="18"/>
                <w:szCs w:val="18"/>
              </w:rPr>
              <w:t>80%</w:t>
            </w:r>
            <w:r>
              <w:rPr>
                <w:rFonts w:hint="eastAsia" w:ascii="宋体" w:hAnsi="宋体" w:cs="宋体"/>
                <w:color w:val="000000"/>
                <w:kern w:val="0"/>
                <w:sz w:val="18"/>
                <w:szCs w:val="18"/>
              </w:rPr>
              <w:t>以上</w:t>
            </w:r>
          </w:p>
        </w:tc>
        <w:tc>
          <w:tcPr>
            <w:tcW w:w="61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18"/>
                <w:szCs w:val="18"/>
              </w:rPr>
            </w:pPr>
            <w:r>
              <w:rPr>
                <w:rFonts w:hint="eastAsia" w:ascii="宋体" w:hAnsi="宋体" w:cs="宋体"/>
                <w:color w:val="000000"/>
                <w:kern w:val="0"/>
                <w:sz w:val="18"/>
                <w:szCs w:val="18"/>
              </w:rPr>
              <w:t>完成不足</w:t>
            </w:r>
            <w:r>
              <w:rPr>
                <w:rFonts w:ascii="宋体" w:hAnsi="宋体" w:cs="宋体"/>
                <w:color w:val="000000"/>
                <w:kern w:val="0"/>
                <w:sz w:val="18"/>
                <w:szCs w:val="18"/>
              </w:rPr>
              <w:t>80%</w:t>
            </w:r>
          </w:p>
        </w:tc>
      </w:tr>
      <w:tr>
        <w:tblPrEx>
          <w:tblLayout w:type="fixed"/>
          <w:tblCellMar>
            <w:top w:w="15" w:type="dxa"/>
            <w:left w:w="15" w:type="dxa"/>
            <w:bottom w:w="15" w:type="dxa"/>
            <w:right w:w="15" w:type="dxa"/>
          </w:tblCellMar>
        </w:tblPrEx>
        <w:trPr>
          <w:trHeight w:val="720" w:hRule="atLeast"/>
        </w:trPr>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8"/>
                <w:szCs w:val="18"/>
              </w:rPr>
            </w:pPr>
          </w:p>
        </w:tc>
        <w:tc>
          <w:tcPr>
            <w:tcW w:w="6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1475"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8"/>
                <w:szCs w:val="18"/>
              </w:rPr>
            </w:pPr>
          </w:p>
        </w:tc>
        <w:tc>
          <w:tcPr>
            <w:tcW w:w="9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一事一议财政奖补资金及时下达拨付。</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18"/>
                <w:szCs w:val="18"/>
              </w:rPr>
            </w:pPr>
            <w:r>
              <w:rPr>
                <w:rFonts w:hint="eastAsia" w:ascii="宋体" w:hAnsi="宋体" w:cs="宋体"/>
                <w:color w:val="000000"/>
                <w:kern w:val="0"/>
                <w:sz w:val="18"/>
                <w:szCs w:val="18"/>
              </w:rPr>
              <w:t>收到农村面貌改造提升村名单后</w:t>
            </w:r>
            <w:r>
              <w:rPr>
                <w:rFonts w:ascii="宋体" w:hAnsi="宋体" w:cs="宋体"/>
                <w:color w:val="000000"/>
                <w:kern w:val="0"/>
                <w:sz w:val="18"/>
                <w:szCs w:val="18"/>
              </w:rPr>
              <w:t xml:space="preserve">30 </w:t>
            </w:r>
            <w:r>
              <w:rPr>
                <w:rFonts w:hint="eastAsia" w:ascii="宋体" w:hAnsi="宋体" w:cs="宋体"/>
                <w:color w:val="000000"/>
                <w:kern w:val="0"/>
                <w:sz w:val="18"/>
                <w:szCs w:val="18"/>
              </w:rPr>
              <w:t>日内下达资金</w:t>
            </w:r>
          </w:p>
        </w:tc>
        <w:tc>
          <w:tcPr>
            <w:tcW w:w="7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18"/>
                <w:szCs w:val="18"/>
              </w:rPr>
            </w:pPr>
            <w:r>
              <w:rPr>
                <w:rFonts w:hint="eastAsia" w:ascii="宋体" w:hAnsi="宋体" w:cs="宋体"/>
                <w:color w:val="000000"/>
                <w:kern w:val="0"/>
                <w:sz w:val="18"/>
                <w:szCs w:val="18"/>
              </w:rPr>
              <w:t>收到</w:t>
            </w:r>
            <w:r>
              <w:rPr>
                <w:rFonts w:ascii="宋体" w:cs="宋体"/>
                <w:color w:val="000000"/>
                <w:kern w:val="0"/>
                <w:sz w:val="18"/>
                <w:szCs w:val="18"/>
              </w:rPr>
              <w:br w:type="textWrapping"/>
            </w:r>
            <w:r>
              <w:rPr>
                <w:rFonts w:hint="eastAsia" w:ascii="宋体" w:hAnsi="宋体" w:cs="宋体"/>
                <w:color w:val="000000"/>
                <w:kern w:val="0"/>
                <w:sz w:val="18"/>
                <w:szCs w:val="18"/>
              </w:rPr>
              <w:t>农村</w:t>
            </w:r>
            <w:r>
              <w:rPr>
                <w:rFonts w:ascii="宋体" w:cs="宋体"/>
                <w:color w:val="000000"/>
                <w:kern w:val="0"/>
                <w:sz w:val="18"/>
                <w:szCs w:val="18"/>
              </w:rPr>
              <w:br w:type="textWrapping"/>
            </w:r>
            <w:r>
              <w:rPr>
                <w:rFonts w:hint="eastAsia" w:ascii="宋体" w:hAnsi="宋体" w:cs="宋体"/>
                <w:color w:val="000000"/>
                <w:kern w:val="0"/>
                <w:sz w:val="18"/>
                <w:szCs w:val="18"/>
              </w:rPr>
              <w:t>面貌</w:t>
            </w:r>
            <w:r>
              <w:rPr>
                <w:rFonts w:ascii="宋体" w:cs="宋体"/>
                <w:color w:val="000000"/>
                <w:kern w:val="0"/>
                <w:sz w:val="18"/>
                <w:szCs w:val="18"/>
              </w:rPr>
              <w:br w:type="textWrapping"/>
            </w:r>
            <w:r>
              <w:rPr>
                <w:rFonts w:hint="eastAsia" w:ascii="宋体" w:hAnsi="宋体" w:cs="宋体"/>
                <w:color w:val="000000"/>
                <w:kern w:val="0"/>
                <w:sz w:val="18"/>
                <w:szCs w:val="18"/>
              </w:rPr>
              <w:t>改造</w:t>
            </w:r>
            <w:r>
              <w:rPr>
                <w:rFonts w:ascii="宋体" w:cs="宋体"/>
                <w:color w:val="000000"/>
                <w:kern w:val="0"/>
                <w:sz w:val="18"/>
                <w:szCs w:val="18"/>
              </w:rPr>
              <w:br w:type="textWrapping"/>
            </w:r>
            <w:r>
              <w:rPr>
                <w:rFonts w:hint="eastAsia" w:ascii="宋体" w:hAnsi="宋体" w:cs="宋体"/>
                <w:color w:val="000000"/>
                <w:kern w:val="0"/>
                <w:sz w:val="18"/>
                <w:szCs w:val="18"/>
              </w:rPr>
              <w:t>提升</w:t>
            </w:r>
            <w:r>
              <w:rPr>
                <w:rFonts w:ascii="宋体" w:cs="宋体"/>
                <w:color w:val="000000"/>
                <w:kern w:val="0"/>
                <w:sz w:val="18"/>
                <w:szCs w:val="18"/>
              </w:rPr>
              <w:br w:type="textWrapping"/>
            </w:r>
            <w:r>
              <w:rPr>
                <w:rFonts w:hint="eastAsia" w:ascii="宋体" w:hAnsi="宋体" w:cs="宋体"/>
                <w:color w:val="000000"/>
                <w:kern w:val="0"/>
                <w:sz w:val="18"/>
                <w:szCs w:val="18"/>
              </w:rPr>
              <w:t>村名</w:t>
            </w:r>
            <w:r>
              <w:rPr>
                <w:rFonts w:ascii="宋体" w:cs="宋体"/>
                <w:color w:val="000000"/>
                <w:kern w:val="0"/>
                <w:sz w:val="18"/>
                <w:szCs w:val="18"/>
              </w:rPr>
              <w:br w:type="textWrapping"/>
            </w:r>
            <w:r>
              <w:rPr>
                <w:rFonts w:hint="eastAsia" w:ascii="宋体" w:hAnsi="宋体" w:cs="宋体"/>
                <w:color w:val="000000"/>
                <w:kern w:val="0"/>
                <w:sz w:val="18"/>
                <w:szCs w:val="18"/>
              </w:rPr>
              <w:t>单后</w:t>
            </w:r>
            <w:r>
              <w:rPr>
                <w:rFonts w:ascii="宋体" w:cs="宋体"/>
                <w:color w:val="000000"/>
                <w:kern w:val="0"/>
                <w:sz w:val="18"/>
                <w:szCs w:val="18"/>
              </w:rPr>
              <w:br w:type="textWrapping"/>
            </w:r>
            <w:r>
              <w:rPr>
                <w:rFonts w:ascii="宋体" w:hAnsi="宋体" w:cs="宋体"/>
                <w:color w:val="000000"/>
                <w:kern w:val="0"/>
                <w:sz w:val="18"/>
                <w:szCs w:val="18"/>
              </w:rPr>
              <w:t xml:space="preserve">40 </w:t>
            </w:r>
            <w:r>
              <w:rPr>
                <w:rFonts w:hint="eastAsia" w:ascii="宋体" w:hAnsi="宋体" w:cs="宋体"/>
                <w:color w:val="000000"/>
                <w:kern w:val="0"/>
                <w:sz w:val="18"/>
                <w:szCs w:val="18"/>
              </w:rPr>
              <w:t>日</w:t>
            </w:r>
            <w:r>
              <w:rPr>
                <w:rFonts w:ascii="宋体" w:cs="宋体"/>
                <w:color w:val="000000"/>
                <w:kern w:val="0"/>
                <w:sz w:val="18"/>
                <w:szCs w:val="18"/>
              </w:rPr>
              <w:br w:type="textWrapping"/>
            </w:r>
            <w:r>
              <w:rPr>
                <w:rFonts w:hint="eastAsia" w:ascii="宋体" w:hAnsi="宋体" w:cs="宋体"/>
                <w:color w:val="000000"/>
                <w:kern w:val="0"/>
                <w:sz w:val="18"/>
                <w:szCs w:val="18"/>
              </w:rPr>
              <w:t>内下</w:t>
            </w:r>
            <w:r>
              <w:rPr>
                <w:rFonts w:ascii="宋体" w:cs="宋体"/>
                <w:color w:val="000000"/>
                <w:kern w:val="0"/>
                <w:sz w:val="18"/>
                <w:szCs w:val="18"/>
              </w:rPr>
              <w:br w:type="textWrapping"/>
            </w:r>
            <w:r>
              <w:rPr>
                <w:rFonts w:hint="eastAsia" w:ascii="宋体" w:hAnsi="宋体" w:cs="宋体"/>
                <w:color w:val="000000"/>
                <w:kern w:val="0"/>
                <w:sz w:val="18"/>
                <w:szCs w:val="18"/>
              </w:rPr>
              <w:t>达资</w:t>
            </w:r>
            <w:r>
              <w:rPr>
                <w:rFonts w:ascii="宋体" w:cs="宋体"/>
                <w:color w:val="000000"/>
                <w:kern w:val="0"/>
                <w:sz w:val="18"/>
                <w:szCs w:val="18"/>
              </w:rPr>
              <w:br w:type="textWrapping"/>
            </w:r>
            <w:r>
              <w:rPr>
                <w:rFonts w:hint="eastAsia" w:ascii="宋体" w:hAnsi="宋体" w:cs="宋体"/>
                <w:color w:val="000000"/>
                <w:kern w:val="0"/>
                <w:sz w:val="18"/>
                <w:szCs w:val="18"/>
              </w:rPr>
              <w:t>金</w:t>
            </w:r>
          </w:p>
        </w:tc>
        <w:tc>
          <w:tcPr>
            <w:tcW w:w="79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18"/>
                <w:szCs w:val="18"/>
              </w:rPr>
            </w:pPr>
            <w:r>
              <w:rPr>
                <w:rFonts w:hint="eastAsia" w:ascii="宋体" w:hAnsi="宋体" w:cs="宋体"/>
                <w:color w:val="000000"/>
                <w:kern w:val="0"/>
                <w:sz w:val="18"/>
                <w:szCs w:val="18"/>
              </w:rPr>
              <w:t>收到农村面貌改造提升村名单后</w:t>
            </w:r>
            <w:r>
              <w:rPr>
                <w:rFonts w:ascii="宋体" w:hAnsi="宋体" w:cs="宋体"/>
                <w:color w:val="000000"/>
                <w:kern w:val="0"/>
                <w:sz w:val="18"/>
                <w:szCs w:val="18"/>
              </w:rPr>
              <w:t xml:space="preserve">50 </w:t>
            </w:r>
            <w:r>
              <w:rPr>
                <w:rFonts w:hint="eastAsia" w:ascii="宋体" w:hAnsi="宋体" w:cs="宋体"/>
                <w:color w:val="000000"/>
                <w:kern w:val="0"/>
                <w:sz w:val="18"/>
                <w:szCs w:val="18"/>
              </w:rPr>
              <w:t>日内下达资金</w:t>
            </w:r>
          </w:p>
        </w:tc>
        <w:tc>
          <w:tcPr>
            <w:tcW w:w="61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sz w:val="18"/>
                <w:szCs w:val="18"/>
              </w:rPr>
            </w:pPr>
            <w:r>
              <w:rPr>
                <w:rFonts w:hint="eastAsia" w:ascii="宋体" w:hAnsi="宋体" w:cs="宋体"/>
                <w:color w:val="000000"/>
                <w:kern w:val="0"/>
                <w:sz w:val="18"/>
                <w:szCs w:val="18"/>
              </w:rPr>
              <w:t>收到农村面貌改造提升村名单后超</w:t>
            </w:r>
            <w:r>
              <w:rPr>
                <w:rFonts w:ascii="宋体" w:hAnsi="宋体" w:cs="宋体"/>
                <w:color w:val="000000"/>
                <w:kern w:val="0"/>
                <w:sz w:val="18"/>
                <w:szCs w:val="18"/>
              </w:rPr>
              <w:t xml:space="preserve"> 50</w:t>
            </w:r>
            <w:r>
              <w:rPr>
                <w:rFonts w:hint="eastAsia" w:ascii="宋体" w:hAnsi="宋体" w:cs="宋体"/>
                <w:color w:val="000000"/>
                <w:kern w:val="0"/>
                <w:sz w:val="18"/>
                <w:szCs w:val="18"/>
              </w:rPr>
              <w:t>日下达资金</w:t>
            </w:r>
          </w:p>
        </w:tc>
      </w:tr>
      <w:tr>
        <w:tblPrEx>
          <w:tblLayout w:type="fixed"/>
          <w:tblCellMar>
            <w:top w:w="15" w:type="dxa"/>
            <w:left w:w="15" w:type="dxa"/>
            <w:bottom w:w="15" w:type="dxa"/>
            <w:right w:w="15" w:type="dxa"/>
          </w:tblCellMar>
        </w:tblPrEx>
        <w:trPr>
          <w:trHeight w:val="401" w:hRule="atLeast"/>
        </w:trPr>
        <w:tc>
          <w:tcPr>
            <w:tcW w:w="8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 w:val="18"/>
                <w:szCs w:val="18"/>
              </w:rPr>
            </w:pPr>
            <w:r>
              <w:rPr>
                <w:rFonts w:hint="eastAsia" w:ascii="宋体" w:hAnsi="宋体" w:cs="宋体"/>
                <w:b/>
                <w:color w:val="000000"/>
                <w:sz w:val="18"/>
                <w:szCs w:val="18"/>
              </w:rPr>
              <w:t>规范津贴补贴管理</w:t>
            </w: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p>
        </w:tc>
        <w:tc>
          <w:tcPr>
            <w:tcW w:w="147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18"/>
                <w:szCs w:val="18"/>
              </w:rPr>
            </w:pPr>
            <w:r>
              <w:rPr>
                <w:rFonts w:hint="eastAsia" w:ascii="宋体" w:hAnsi="宋体" w:cs="宋体"/>
                <w:color w:val="000000"/>
                <w:sz w:val="18"/>
                <w:szCs w:val="18"/>
              </w:rPr>
              <w:t>机关事业单位津贴补贴制度管理</w:t>
            </w: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18"/>
                <w:szCs w:val="18"/>
              </w:rPr>
            </w:pPr>
            <w:r>
              <w:rPr>
                <w:rFonts w:hint="eastAsia" w:ascii="宋体" w:hAnsi="宋体" w:cs="宋体"/>
                <w:color w:val="000000"/>
                <w:sz w:val="18"/>
                <w:szCs w:val="18"/>
              </w:rPr>
              <w:t>落实国家有关工资制度改革政策，不断规范津贴补贴发放秩序</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津贴补贴发放秩序规范有序</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规范津贴补贴工作规范有序</w:t>
            </w:r>
          </w:p>
        </w:tc>
        <w:tc>
          <w:tcPr>
            <w:tcW w:w="7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8"/>
                <w:szCs w:val="18"/>
              </w:rPr>
            </w:pPr>
            <w:r>
              <w:rPr>
                <w:rFonts w:hint="eastAsia" w:ascii="宋体" w:hAnsi="宋体" w:cs="宋体"/>
                <w:color w:val="000000"/>
                <w:kern w:val="0"/>
                <w:sz w:val="18"/>
                <w:szCs w:val="18"/>
              </w:rPr>
              <w:t>规范津贴补贴工作总体比较规范有序，对个别问题及时整改到位</w:t>
            </w:r>
          </w:p>
        </w:tc>
        <w:tc>
          <w:tcPr>
            <w:tcW w:w="79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8"/>
                <w:szCs w:val="18"/>
              </w:rPr>
            </w:pPr>
            <w:r>
              <w:rPr>
                <w:rFonts w:hint="eastAsia" w:ascii="宋体" w:hAnsi="宋体" w:cs="宋体"/>
                <w:color w:val="000000"/>
                <w:kern w:val="0"/>
                <w:sz w:val="18"/>
                <w:szCs w:val="18"/>
              </w:rPr>
              <w:t>规范津贴补贴工作总体比较规范有序，对个别问题组织整改不及时</w:t>
            </w:r>
          </w:p>
        </w:tc>
        <w:tc>
          <w:tcPr>
            <w:tcW w:w="61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cs="宋体"/>
                <w:color w:val="000000"/>
                <w:kern w:val="0"/>
                <w:sz w:val="18"/>
                <w:szCs w:val="18"/>
              </w:rPr>
            </w:pPr>
            <w:r>
              <w:rPr>
                <w:rFonts w:hint="eastAsia" w:ascii="宋体" w:hAnsi="宋体" w:cs="宋体"/>
                <w:color w:val="000000"/>
                <w:kern w:val="0"/>
                <w:sz w:val="18"/>
                <w:szCs w:val="18"/>
              </w:rPr>
              <w:t>存在较多问题，需要整改</w:t>
            </w:r>
          </w:p>
        </w:tc>
      </w:tr>
    </w:tbl>
    <w:p>
      <w:pPr>
        <w:spacing w:line="600" w:lineRule="exact"/>
        <w:ind w:left="420" w:leftChars="200"/>
        <w:rPr>
          <w:rFonts w:ascii="宋体" w:cs="宋体"/>
          <w:sz w:val="30"/>
          <w:szCs w:val="30"/>
        </w:rPr>
      </w:pPr>
    </w:p>
    <w:p>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ind w:firstLine="640" w:firstLineChars="200"/>
        <w:jc w:val="left"/>
        <w:outlineLvl w:val="0"/>
        <w:rPr>
          <w:rFonts w:hint="eastAsia" w:ascii="仿宋" w:hAnsi="仿宋" w:eastAsia="仿宋"/>
          <w:sz w:val="32"/>
          <w:szCs w:val="32"/>
        </w:rPr>
      </w:pPr>
      <w:r>
        <w:rPr>
          <w:rFonts w:ascii="仿宋" w:hAnsi="仿宋" w:eastAsia="仿宋"/>
          <w:sz w:val="32"/>
          <w:szCs w:val="32"/>
        </w:rPr>
        <w:t>2017</w:t>
      </w:r>
      <w:r>
        <w:rPr>
          <w:rFonts w:hint="eastAsia" w:ascii="仿宋" w:hAnsi="仿宋" w:eastAsia="仿宋"/>
          <w:sz w:val="32"/>
          <w:szCs w:val="32"/>
        </w:rPr>
        <w:t>年，白沟新城财政局安排采购预算</w:t>
      </w:r>
      <w:r>
        <w:rPr>
          <w:rFonts w:ascii="仿宋" w:hAnsi="仿宋" w:eastAsia="仿宋"/>
          <w:sz w:val="32"/>
          <w:szCs w:val="32"/>
        </w:rPr>
        <w:t>312.32</w:t>
      </w:r>
      <w:r>
        <w:rPr>
          <w:rFonts w:hint="eastAsia" w:ascii="仿宋" w:hAnsi="仿宋" w:eastAsia="仿宋"/>
          <w:sz w:val="32"/>
          <w:szCs w:val="32"/>
        </w:rPr>
        <w:t>万元。具体内容见下表：</w:t>
      </w:r>
    </w:p>
    <w:p>
      <w:pPr>
        <w:ind w:firstLine="640" w:firstLineChars="200"/>
        <w:jc w:val="left"/>
        <w:outlineLvl w:val="0"/>
        <w:rPr>
          <w:rFonts w:hint="eastAsia" w:ascii="仿宋" w:hAnsi="仿宋" w:eastAsia="仿宋"/>
          <w:sz w:val="32"/>
          <w:szCs w:val="32"/>
        </w:rPr>
      </w:pPr>
    </w:p>
    <w:p>
      <w:pPr>
        <w:ind w:firstLine="640" w:firstLineChars="200"/>
        <w:jc w:val="left"/>
        <w:outlineLvl w:val="0"/>
        <w:rPr>
          <w:rFonts w:hint="eastAsia" w:ascii="仿宋" w:hAnsi="仿宋" w:eastAsia="仿宋"/>
          <w:sz w:val="32"/>
          <w:szCs w:val="32"/>
        </w:rPr>
      </w:pPr>
    </w:p>
    <w:tbl>
      <w:tblPr>
        <w:tblStyle w:val="6"/>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407"/>
        <w:gridCol w:w="661"/>
        <w:gridCol w:w="679"/>
        <w:gridCol w:w="712"/>
        <w:gridCol w:w="711"/>
        <w:gridCol w:w="711"/>
        <w:gridCol w:w="660"/>
        <w:gridCol w:w="662"/>
        <w:gridCol w:w="662"/>
        <w:gridCol w:w="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3" w:hRule="atLeast"/>
          <w:tblHeader/>
        </w:trPr>
        <w:tc>
          <w:tcPr>
            <w:tcW w:w="2173"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575"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825"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407" w:type="dxa"/>
            <w:vMerge w:val="restart"/>
            <w:vAlign w:val="center"/>
          </w:tcPr>
          <w:p>
            <w:pPr>
              <w:spacing w:line="300" w:lineRule="exact"/>
              <w:jc w:val="center"/>
              <w:rPr>
                <w:rFonts w:ascii="????_GBK" w:eastAsia="Times New Roman"/>
                <w:b/>
              </w:rPr>
            </w:pPr>
            <w:r>
              <w:rPr>
                <w:rFonts w:ascii="????_GBK" w:eastAsia="Times New Roman"/>
                <w:b/>
              </w:rPr>
              <w:t>数量单位</w:t>
            </w:r>
          </w:p>
        </w:tc>
        <w:tc>
          <w:tcPr>
            <w:tcW w:w="661" w:type="dxa"/>
            <w:vMerge w:val="restart"/>
            <w:vAlign w:val="center"/>
          </w:tcPr>
          <w:p>
            <w:pPr>
              <w:spacing w:line="300" w:lineRule="exact"/>
              <w:jc w:val="center"/>
              <w:rPr>
                <w:rFonts w:ascii="????_GBK" w:eastAsia="Times New Roman"/>
                <w:b/>
              </w:rPr>
            </w:pPr>
            <w:r>
              <w:rPr>
                <w:rFonts w:ascii="????_GBK" w:eastAsia="Times New Roman"/>
                <w:b/>
              </w:rPr>
              <w:t>数量</w:t>
            </w:r>
          </w:p>
        </w:tc>
        <w:tc>
          <w:tcPr>
            <w:tcW w:w="679" w:type="dxa"/>
            <w:vMerge w:val="restart"/>
            <w:vAlign w:val="center"/>
          </w:tcPr>
          <w:p>
            <w:pPr>
              <w:spacing w:line="300" w:lineRule="exact"/>
              <w:jc w:val="center"/>
              <w:rPr>
                <w:rFonts w:ascii="????_GBK" w:eastAsia="Times New Roman"/>
                <w:b/>
              </w:rPr>
            </w:pPr>
            <w:r>
              <w:rPr>
                <w:rFonts w:ascii="????_GBK" w:eastAsia="Times New Roman"/>
                <w:b/>
              </w:rPr>
              <w:t>单价</w:t>
            </w:r>
          </w:p>
        </w:tc>
        <w:tc>
          <w:tcPr>
            <w:tcW w:w="4740" w:type="dxa"/>
            <w:gridSpan w:val="7"/>
            <w:vAlign w:val="center"/>
          </w:tcPr>
          <w:p>
            <w:pPr>
              <w:spacing w:line="300" w:lineRule="exact"/>
              <w:jc w:val="center"/>
              <w:rPr>
                <w:rFonts w:ascii="????_GBK" w:eastAsia="Times New Roman"/>
                <w:b/>
              </w:rPr>
            </w:pPr>
            <w:r>
              <w:rPr>
                <w:rFonts w:ascii="????_GBK" w:eastAsia="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93" w:hRule="atLeast"/>
          <w:tblHeader/>
        </w:trPr>
        <w:tc>
          <w:tcPr>
            <w:tcW w:w="1288" w:type="dxa"/>
            <w:vMerge w:val="restart"/>
            <w:vAlign w:val="center"/>
          </w:tcPr>
          <w:p>
            <w:pPr>
              <w:spacing w:line="300" w:lineRule="exact"/>
              <w:jc w:val="center"/>
              <w:rPr>
                <w:rFonts w:ascii="????_GBK" w:eastAsia="Times New Roman"/>
                <w:b/>
              </w:rPr>
            </w:pPr>
            <w:r>
              <w:rPr>
                <w:rFonts w:ascii="????_GBK" w:eastAsia="Times New Roman"/>
                <w:b/>
              </w:rPr>
              <w:t>项目名称</w:t>
            </w:r>
          </w:p>
        </w:tc>
        <w:tc>
          <w:tcPr>
            <w:tcW w:w="885" w:type="dxa"/>
            <w:vMerge w:val="restart"/>
            <w:vAlign w:val="center"/>
          </w:tcPr>
          <w:p>
            <w:pPr>
              <w:spacing w:line="300" w:lineRule="exact"/>
              <w:jc w:val="center"/>
              <w:rPr>
                <w:rFonts w:ascii="????_GBK" w:eastAsia="Times New Roman"/>
                <w:b/>
              </w:rPr>
            </w:pPr>
            <w:r>
              <w:rPr>
                <w:rFonts w:ascii="????_GBK" w:eastAsia="Times New Roman"/>
                <w:b/>
              </w:rPr>
              <w:t>预算资金</w:t>
            </w:r>
          </w:p>
        </w:tc>
        <w:tc>
          <w:tcPr>
            <w:tcW w:w="1575" w:type="dxa"/>
            <w:vMerge w:val="continue"/>
            <w:vAlign w:val="center"/>
          </w:tcPr>
          <w:p>
            <w:pPr>
              <w:spacing w:line="300" w:lineRule="exact"/>
              <w:jc w:val="left"/>
              <w:outlineLvl w:val="0"/>
            </w:pPr>
          </w:p>
        </w:tc>
        <w:tc>
          <w:tcPr>
            <w:tcW w:w="825" w:type="dxa"/>
            <w:vMerge w:val="continue"/>
            <w:vAlign w:val="center"/>
          </w:tcPr>
          <w:p>
            <w:pPr>
              <w:spacing w:line="300" w:lineRule="exact"/>
              <w:jc w:val="left"/>
              <w:outlineLvl w:val="0"/>
            </w:pPr>
          </w:p>
        </w:tc>
        <w:tc>
          <w:tcPr>
            <w:tcW w:w="407"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79" w:type="dxa"/>
            <w:vMerge w:val="continue"/>
            <w:vAlign w:val="center"/>
          </w:tcPr>
          <w:p>
            <w:pPr>
              <w:spacing w:line="300" w:lineRule="exact"/>
              <w:jc w:val="left"/>
              <w:outlineLvl w:val="0"/>
            </w:pPr>
          </w:p>
        </w:tc>
        <w:tc>
          <w:tcPr>
            <w:tcW w:w="712" w:type="dxa"/>
            <w:vMerge w:val="restart"/>
            <w:vAlign w:val="center"/>
          </w:tcPr>
          <w:p>
            <w:pPr>
              <w:spacing w:line="300" w:lineRule="exact"/>
              <w:jc w:val="center"/>
              <w:rPr>
                <w:rFonts w:ascii="????_GBK" w:eastAsia="Times New Roman"/>
                <w:b/>
              </w:rPr>
            </w:pPr>
            <w:r>
              <w:rPr>
                <w:rFonts w:ascii="????_GBK" w:eastAsia="Times New Roman"/>
                <w:b/>
              </w:rPr>
              <w:t>总计</w:t>
            </w:r>
          </w:p>
        </w:tc>
        <w:tc>
          <w:tcPr>
            <w:tcW w:w="3406" w:type="dxa"/>
            <w:gridSpan w:val="5"/>
            <w:vAlign w:val="center"/>
          </w:tcPr>
          <w:p>
            <w:pPr>
              <w:spacing w:line="300" w:lineRule="exact"/>
              <w:jc w:val="center"/>
              <w:rPr>
                <w:rFonts w:ascii="????_GBK" w:eastAsia="Times New Roman"/>
                <w:b/>
              </w:rPr>
            </w:pPr>
            <w:r>
              <w:rPr>
                <w:rFonts w:ascii="????_GBK" w:eastAsia="Times New Roman"/>
                <w:b/>
              </w:rPr>
              <w:t>当年部门预算安排资金</w:t>
            </w:r>
          </w:p>
        </w:tc>
        <w:tc>
          <w:tcPr>
            <w:tcW w:w="622" w:type="dxa"/>
            <w:vMerge w:val="restart"/>
            <w:vAlign w:val="center"/>
          </w:tcPr>
          <w:p>
            <w:pPr>
              <w:spacing w:line="300" w:lineRule="exact"/>
              <w:jc w:val="center"/>
              <w:rPr>
                <w:rFonts w:ascii="????_GBK" w:eastAsia="Times New Roman"/>
                <w:b/>
              </w:rPr>
            </w:pPr>
            <w:r>
              <w:rPr>
                <w:rFonts w:ascii="????_GBK" w:eastAsia="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94" w:hRule="atLeast"/>
          <w:tblHeader/>
        </w:trPr>
        <w:tc>
          <w:tcPr>
            <w:tcW w:w="1288" w:type="dxa"/>
            <w:vMerge w:val="continue"/>
            <w:vAlign w:val="center"/>
          </w:tcPr>
          <w:p>
            <w:pPr>
              <w:spacing w:line="300" w:lineRule="exact"/>
              <w:jc w:val="left"/>
              <w:outlineLvl w:val="0"/>
            </w:pPr>
          </w:p>
        </w:tc>
        <w:tc>
          <w:tcPr>
            <w:tcW w:w="885" w:type="dxa"/>
            <w:vMerge w:val="continue"/>
            <w:vAlign w:val="center"/>
          </w:tcPr>
          <w:p>
            <w:pPr>
              <w:spacing w:line="300" w:lineRule="exact"/>
              <w:jc w:val="left"/>
              <w:outlineLvl w:val="0"/>
            </w:pPr>
          </w:p>
        </w:tc>
        <w:tc>
          <w:tcPr>
            <w:tcW w:w="1575" w:type="dxa"/>
            <w:vMerge w:val="continue"/>
            <w:vAlign w:val="center"/>
          </w:tcPr>
          <w:p>
            <w:pPr>
              <w:spacing w:line="300" w:lineRule="exact"/>
              <w:jc w:val="left"/>
              <w:outlineLvl w:val="0"/>
            </w:pPr>
          </w:p>
        </w:tc>
        <w:tc>
          <w:tcPr>
            <w:tcW w:w="825" w:type="dxa"/>
            <w:vMerge w:val="continue"/>
            <w:vAlign w:val="center"/>
          </w:tcPr>
          <w:p>
            <w:pPr>
              <w:spacing w:line="300" w:lineRule="exact"/>
              <w:jc w:val="left"/>
              <w:outlineLvl w:val="0"/>
            </w:pPr>
          </w:p>
        </w:tc>
        <w:tc>
          <w:tcPr>
            <w:tcW w:w="407" w:type="dxa"/>
            <w:vMerge w:val="continue"/>
            <w:vAlign w:val="center"/>
          </w:tcPr>
          <w:p>
            <w:pPr>
              <w:spacing w:line="300" w:lineRule="exact"/>
              <w:jc w:val="left"/>
              <w:outlineLvl w:val="0"/>
            </w:pPr>
          </w:p>
        </w:tc>
        <w:tc>
          <w:tcPr>
            <w:tcW w:w="661" w:type="dxa"/>
            <w:vMerge w:val="continue"/>
            <w:vAlign w:val="center"/>
          </w:tcPr>
          <w:p>
            <w:pPr>
              <w:spacing w:line="300" w:lineRule="exact"/>
              <w:jc w:val="left"/>
              <w:outlineLvl w:val="0"/>
            </w:pPr>
          </w:p>
        </w:tc>
        <w:tc>
          <w:tcPr>
            <w:tcW w:w="679" w:type="dxa"/>
            <w:vMerge w:val="continue"/>
            <w:vAlign w:val="center"/>
          </w:tcPr>
          <w:p>
            <w:pPr>
              <w:spacing w:line="300" w:lineRule="exact"/>
              <w:jc w:val="left"/>
              <w:outlineLvl w:val="0"/>
            </w:pPr>
          </w:p>
        </w:tc>
        <w:tc>
          <w:tcPr>
            <w:tcW w:w="712" w:type="dxa"/>
            <w:vMerge w:val="continue"/>
            <w:vAlign w:val="center"/>
          </w:tcPr>
          <w:p>
            <w:pPr>
              <w:spacing w:line="300" w:lineRule="exact"/>
              <w:jc w:val="left"/>
              <w:outlineLvl w:val="0"/>
            </w:pPr>
          </w:p>
        </w:tc>
        <w:tc>
          <w:tcPr>
            <w:tcW w:w="711" w:type="dxa"/>
            <w:vAlign w:val="center"/>
          </w:tcPr>
          <w:p>
            <w:pPr>
              <w:spacing w:line="300" w:lineRule="exact"/>
              <w:jc w:val="center"/>
              <w:rPr>
                <w:rFonts w:ascii="????_GBK" w:eastAsia="Times New Roman"/>
                <w:b/>
              </w:rPr>
            </w:pPr>
            <w:r>
              <w:rPr>
                <w:rFonts w:ascii="????_GBK" w:eastAsia="Times New Roman"/>
                <w:b/>
              </w:rPr>
              <w:t>合计</w:t>
            </w:r>
          </w:p>
        </w:tc>
        <w:tc>
          <w:tcPr>
            <w:tcW w:w="711" w:type="dxa"/>
            <w:vAlign w:val="center"/>
          </w:tcPr>
          <w:p>
            <w:pPr>
              <w:spacing w:line="300" w:lineRule="exact"/>
              <w:jc w:val="center"/>
              <w:rPr>
                <w:rFonts w:ascii="????_GBK" w:eastAsia="Times New Roman"/>
                <w:b/>
              </w:rPr>
            </w:pPr>
            <w:r>
              <w:rPr>
                <w:rFonts w:ascii="????_GBK" w:eastAsia="Times New Roman"/>
                <w:b/>
              </w:rPr>
              <w:t>一般公共预算拨款</w:t>
            </w:r>
          </w:p>
        </w:tc>
        <w:tc>
          <w:tcPr>
            <w:tcW w:w="660" w:type="dxa"/>
            <w:vAlign w:val="center"/>
          </w:tcPr>
          <w:p>
            <w:pPr>
              <w:spacing w:line="300" w:lineRule="exact"/>
              <w:jc w:val="center"/>
              <w:rPr>
                <w:rFonts w:ascii="????_GBK" w:eastAsia="Times New Roman"/>
                <w:b/>
              </w:rPr>
            </w:pPr>
            <w:r>
              <w:rPr>
                <w:rFonts w:ascii="????_GBK" w:eastAsia="Times New Roman"/>
                <w:b/>
              </w:rPr>
              <w:t>基金预算拨款</w:t>
            </w:r>
          </w:p>
        </w:tc>
        <w:tc>
          <w:tcPr>
            <w:tcW w:w="662" w:type="dxa"/>
            <w:vAlign w:val="center"/>
          </w:tcPr>
          <w:p>
            <w:pPr>
              <w:spacing w:line="300" w:lineRule="exact"/>
              <w:jc w:val="center"/>
              <w:rPr>
                <w:rFonts w:ascii="????_GBK" w:eastAsia="Times New Roman"/>
                <w:b/>
              </w:rPr>
            </w:pPr>
            <w:r>
              <w:rPr>
                <w:rFonts w:ascii="????_GBK" w:eastAsia="Times New Roman"/>
                <w:b/>
              </w:rPr>
              <w:t>财政专户核拨</w:t>
            </w:r>
          </w:p>
        </w:tc>
        <w:tc>
          <w:tcPr>
            <w:tcW w:w="662" w:type="dxa"/>
            <w:vAlign w:val="center"/>
          </w:tcPr>
          <w:p>
            <w:pPr>
              <w:spacing w:line="300" w:lineRule="exact"/>
              <w:jc w:val="center"/>
              <w:rPr>
                <w:rFonts w:ascii="????_GBK" w:eastAsia="Times New Roman"/>
                <w:b/>
              </w:rPr>
            </w:pPr>
            <w:r>
              <w:rPr>
                <w:rFonts w:ascii="????_GBK" w:eastAsia="Times New Roman"/>
                <w:b/>
              </w:rPr>
              <w:t>其他来源收入</w:t>
            </w:r>
          </w:p>
        </w:tc>
        <w:tc>
          <w:tcPr>
            <w:tcW w:w="622"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70" w:hRule="atLeast"/>
        </w:trPr>
        <w:tc>
          <w:tcPr>
            <w:tcW w:w="1288" w:type="dxa"/>
            <w:vAlign w:val="center"/>
          </w:tcPr>
          <w:p>
            <w:pPr>
              <w:spacing w:line="300" w:lineRule="exact"/>
              <w:jc w:val="center"/>
              <w:rPr>
                <w:rFonts w:ascii="????_GBK" w:eastAsia="Times New Roman"/>
                <w:b/>
              </w:rPr>
            </w:pPr>
            <w:r>
              <w:rPr>
                <w:rFonts w:ascii="????_GBK" w:eastAsia="Times New Roman"/>
                <w:b/>
              </w:rPr>
              <w:t>合　计</w:t>
            </w:r>
          </w:p>
        </w:tc>
        <w:tc>
          <w:tcPr>
            <w:tcW w:w="885" w:type="dxa"/>
            <w:vAlign w:val="center"/>
          </w:tcPr>
          <w:p>
            <w:pPr>
              <w:spacing w:line="300" w:lineRule="exact"/>
              <w:jc w:val="right"/>
              <w:rPr>
                <w:rFonts w:ascii="????_GBK"/>
                <w:b/>
              </w:rPr>
            </w:pPr>
            <w:r>
              <w:rPr>
                <w:rFonts w:ascii="????_GBK"/>
                <w:b/>
              </w:rPr>
              <w:t>325.32</w:t>
            </w:r>
          </w:p>
        </w:tc>
        <w:tc>
          <w:tcPr>
            <w:tcW w:w="1575" w:type="dxa"/>
            <w:vAlign w:val="center"/>
          </w:tcPr>
          <w:p>
            <w:pPr>
              <w:spacing w:line="300" w:lineRule="exact"/>
              <w:jc w:val="left"/>
              <w:rPr>
                <w:rFonts w:ascii="????_GBK" w:eastAsia="Times New Roman"/>
                <w:b/>
              </w:rPr>
            </w:pPr>
          </w:p>
        </w:tc>
        <w:tc>
          <w:tcPr>
            <w:tcW w:w="825" w:type="dxa"/>
            <w:vAlign w:val="center"/>
          </w:tcPr>
          <w:p>
            <w:pPr>
              <w:spacing w:line="300" w:lineRule="exact"/>
              <w:jc w:val="left"/>
              <w:rPr>
                <w:rFonts w:ascii="????_GBK" w:eastAsia="Times New Roman"/>
                <w:b/>
              </w:rPr>
            </w:pPr>
          </w:p>
        </w:tc>
        <w:tc>
          <w:tcPr>
            <w:tcW w:w="407" w:type="dxa"/>
            <w:vAlign w:val="center"/>
          </w:tcPr>
          <w:p>
            <w:pPr>
              <w:spacing w:line="300" w:lineRule="exact"/>
              <w:jc w:val="left"/>
              <w:rPr>
                <w:rFonts w:ascii="????_GBK" w:eastAsia="Times New Roman"/>
                <w:b/>
              </w:rPr>
            </w:pPr>
          </w:p>
        </w:tc>
        <w:tc>
          <w:tcPr>
            <w:tcW w:w="661" w:type="dxa"/>
            <w:vAlign w:val="center"/>
          </w:tcPr>
          <w:p>
            <w:pPr>
              <w:spacing w:line="300" w:lineRule="exact"/>
              <w:jc w:val="right"/>
              <w:rPr>
                <w:rFonts w:ascii="????_GBK" w:eastAsia="Times New Roman"/>
                <w:b/>
              </w:rPr>
            </w:pPr>
          </w:p>
        </w:tc>
        <w:tc>
          <w:tcPr>
            <w:tcW w:w="679" w:type="dxa"/>
            <w:vAlign w:val="center"/>
          </w:tcPr>
          <w:p>
            <w:pPr>
              <w:spacing w:line="300" w:lineRule="exact"/>
              <w:jc w:val="right"/>
              <w:rPr>
                <w:rFonts w:ascii="????_GBK" w:eastAsia="Times New Roman"/>
                <w:b/>
              </w:rPr>
            </w:pPr>
          </w:p>
        </w:tc>
        <w:tc>
          <w:tcPr>
            <w:tcW w:w="712" w:type="dxa"/>
            <w:vAlign w:val="center"/>
          </w:tcPr>
          <w:p>
            <w:pPr>
              <w:spacing w:line="300" w:lineRule="exact"/>
              <w:jc w:val="right"/>
              <w:rPr>
                <w:rFonts w:ascii="????_GBK"/>
                <w:b/>
              </w:rPr>
            </w:pPr>
            <w:r>
              <w:rPr>
                <w:rFonts w:ascii="????_GBK"/>
                <w:b/>
              </w:rPr>
              <w:t>325.32</w:t>
            </w:r>
          </w:p>
        </w:tc>
        <w:tc>
          <w:tcPr>
            <w:tcW w:w="711" w:type="dxa"/>
            <w:vAlign w:val="center"/>
          </w:tcPr>
          <w:p>
            <w:pPr>
              <w:spacing w:line="300" w:lineRule="exact"/>
              <w:jc w:val="right"/>
              <w:rPr>
                <w:rFonts w:ascii="????_GBK"/>
                <w:b/>
              </w:rPr>
            </w:pPr>
            <w:r>
              <w:rPr>
                <w:rFonts w:ascii="????_GBK"/>
                <w:b/>
              </w:rPr>
              <w:t>325.32</w:t>
            </w:r>
          </w:p>
        </w:tc>
        <w:tc>
          <w:tcPr>
            <w:tcW w:w="711" w:type="dxa"/>
            <w:vAlign w:val="center"/>
          </w:tcPr>
          <w:p>
            <w:pPr>
              <w:spacing w:line="300" w:lineRule="exact"/>
              <w:jc w:val="right"/>
              <w:rPr>
                <w:rFonts w:ascii="????_GBK"/>
                <w:b/>
              </w:rPr>
            </w:pPr>
            <w:r>
              <w:rPr>
                <w:rFonts w:ascii="????_GBK"/>
                <w:b/>
              </w:rPr>
              <w:t>325.32</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b/>
              </w:rPr>
            </w:pPr>
            <w:r>
              <w:rPr>
                <w:rFonts w:hint="eastAsia" w:ascii="????_GBK"/>
                <w:b/>
              </w:rPr>
              <w:t>专项资金</w:t>
            </w:r>
          </w:p>
        </w:tc>
        <w:tc>
          <w:tcPr>
            <w:tcW w:w="885" w:type="dxa"/>
            <w:vAlign w:val="center"/>
          </w:tcPr>
          <w:p>
            <w:pPr>
              <w:spacing w:line="300" w:lineRule="exact"/>
              <w:jc w:val="right"/>
              <w:rPr>
                <w:rFonts w:ascii="????_GBK"/>
                <w:b/>
              </w:rPr>
            </w:pPr>
            <w:r>
              <w:rPr>
                <w:rFonts w:ascii="????_GBK"/>
                <w:b/>
              </w:rPr>
              <w:t>2.32</w:t>
            </w:r>
          </w:p>
        </w:tc>
        <w:tc>
          <w:tcPr>
            <w:tcW w:w="1575" w:type="dxa"/>
            <w:vAlign w:val="center"/>
          </w:tcPr>
          <w:p>
            <w:pPr>
              <w:spacing w:line="300" w:lineRule="exact"/>
              <w:jc w:val="left"/>
              <w:rPr>
                <w:rFonts w:ascii="????_GBK"/>
                <w:b/>
              </w:rPr>
            </w:pPr>
            <w:r>
              <w:rPr>
                <w:rFonts w:hint="eastAsia" w:ascii="????_GBK"/>
                <w:b/>
              </w:rPr>
              <w:t>维修费</w:t>
            </w:r>
          </w:p>
        </w:tc>
        <w:tc>
          <w:tcPr>
            <w:tcW w:w="825" w:type="dxa"/>
            <w:vAlign w:val="center"/>
          </w:tcPr>
          <w:p>
            <w:pPr>
              <w:spacing w:line="300" w:lineRule="exact"/>
              <w:jc w:val="left"/>
              <w:rPr>
                <w:rFonts w:ascii="????_GBK"/>
                <w:b/>
              </w:rPr>
            </w:pPr>
            <w:r>
              <w:rPr>
                <w:rFonts w:ascii="????_GBK"/>
                <w:b/>
              </w:rPr>
              <w:t>C0206</w:t>
            </w:r>
          </w:p>
        </w:tc>
        <w:tc>
          <w:tcPr>
            <w:tcW w:w="407" w:type="dxa"/>
            <w:vAlign w:val="center"/>
          </w:tcPr>
          <w:p>
            <w:pPr>
              <w:spacing w:line="300" w:lineRule="exact"/>
              <w:jc w:val="left"/>
              <w:rPr>
                <w:rFonts w:ascii="????_GBK"/>
                <w:b/>
              </w:rPr>
            </w:pPr>
            <w:r>
              <w:rPr>
                <w:rFonts w:hint="eastAsia" w:ascii="????_GBK"/>
                <w:b/>
              </w:rPr>
              <w:t>次</w:t>
            </w:r>
          </w:p>
        </w:tc>
        <w:tc>
          <w:tcPr>
            <w:tcW w:w="661" w:type="dxa"/>
            <w:vAlign w:val="center"/>
          </w:tcPr>
          <w:p>
            <w:pPr>
              <w:spacing w:line="300" w:lineRule="exact"/>
              <w:jc w:val="right"/>
              <w:rPr>
                <w:rFonts w:ascii="????_GBK"/>
                <w:b/>
              </w:rPr>
            </w:pPr>
            <w:r>
              <w:rPr>
                <w:rFonts w:ascii="????_GBK"/>
                <w:b/>
              </w:rPr>
              <w:t>3</w:t>
            </w:r>
          </w:p>
        </w:tc>
        <w:tc>
          <w:tcPr>
            <w:tcW w:w="679" w:type="dxa"/>
            <w:vAlign w:val="center"/>
          </w:tcPr>
          <w:p>
            <w:pPr>
              <w:spacing w:line="300" w:lineRule="exact"/>
              <w:jc w:val="right"/>
              <w:rPr>
                <w:rFonts w:ascii="????_GBK"/>
                <w:b/>
              </w:rPr>
            </w:pPr>
          </w:p>
        </w:tc>
        <w:tc>
          <w:tcPr>
            <w:tcW w:w="712" w:type="dxa"/>
            <w:vAlign w:val="center"/>
          </w:tcPr>
          <w:p>
            <w:pPr>
              <w:spacing w:line="300" w:lineRule="exact"/>
              <w:jc w:val="right"/>
              <w:rPr>
                <w:rFonts w:ascii="????_GBK"/>
                <w:b/>
              </w:rPr>
            </w:pPr>
            <w:r>
              <w:rPr>
                <w:rFonts w:ascii="????_GBK"/>
                <w:b/>
              </w:rPr>
              <w:t>2.32</w:t>
            </w:r>
          </w:p>
        </w:tc>
        <w:tc>
          <w:tcPr>
            <w:tcW w:w="711" w:type="dxa"/>
            <w:vAlign w:val="center"/>
          </w:tcPr>
          <w:p>
            <w:pPr>
              <w:spacing w:line="300" w:lineRule="exact"/>
              <w:jc w:val="right"/>
              <w:rPr>
                <w:rFonts w:ascii="????_GBK"/>
                <w:b/>
              </w:rPr>
            </w:pPr>
            <w:r>
              <w:rPr>
                <w:rFonts w:ascii="????_GBK"/>
                <w:b/>
              </w:rPr>
              <w:t>2.32</w:t>
            </w:r>
          </w:p>
        </w:tc>
        <w:tc>
          <w:tcPr>
            <w:tcW w:w="711" w:type="dxa"/>
            <w:vAlign w:val="center"/>
          </w:tcPr>
          <w:p>
            <w:pPr>
              <w:spacing w:line="300" w:lineRule="exact"/>
              <w:jc w:val="right"/>
              <w:rPr>
                <w:rFonts w:ascii="????_GBK"/>
                <w:b/>
              </w:rPr>
            </w:pPr>
            <w:r>
              <w:rPr>
                <w:rFonts w:ascii="????_GBK"/>
                <w:b/>
              </w:rPr>
              <w:t>2.32</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54"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22</w:t>
            </w:r>
          </w:p>
        </w:tc>
        <w:tc>
          <w:tcPr>
            <w:tcW w:w="1575" w:type="dxa"/>
            <w:vAlign w:val="center"/>
          </w:tcPr>
          <w:p>
            <w:pPr>
              <w:spacing w:line="300" w:lineRule="exact"/>
              <w:jc w:val="left"/>
              <w:rPr>
                <w:rFonts w:ascii="????_GBK"/>
                <w:b/>
              </w:rPr>
            </w:pPr>
            <w:r>
              <w:rPr>
                <w:rFonts w:hint="eastAsia" w:ascii="????_GBK"/>
                <w:b/>
              </w:rPr>
              <w:t>维修保养服务</w:t>
            </w:r>
          </w:p>
        </w:tc>
        <w:tc>
          <w:tcPr>
            <w:tcW w:w="825" w:type="dxa"/>
            <w:vAlign w:val="center"/>
          </w:tcPr>
          <w:p>
            <w:pPr>
              <w:spacing w:line="300" w:lineRule="exact"/>
              <w:jc w:val="left"/>
              <w:rPr>
                <w:rFonts w:ascii="????_GBK"/>
                <w:b/>
              </w:rPr>
            </w:pPr>
            <w:r>
              <w:rPr>
                <w:rFonts w:ascii="????_GBK"/>
                <w:b/>
              </w:rPr>
              <w:t>C0503</w:t>
            </w:r>
          </w:p>
        </w:tc>
        <w:tc>
          <w:tcPr>
            <w:tcW w:w="407" w:type="dxa"/>
            <w:vAlign w:val="center"/>
          </w:tcPr>
          <w:p>
            <w:pPr>
              <w:spacing w:line="300" w:lineRule="exact"/>
              <w:jc w:val="left"/>
              <w:rPr>
                <w:rFonts w:ascii="????_GBK"/>
                <w:b/>
              </w:rPr>
            </w:pPr>
            <w:r>
              <w:rPr>
                <w:rFonts w:hint="eastAsia" w:ascii="????_GBK"/>
                <w:b/>
              </w:rPr>
              <w:t>次</w:t>
            </w:r>
          </w:p>
        </w:tc>
        <w:tc>
          <w:tcPr>
            <w:tcW w:w="661" w:type="dxa"/>
            <w:vAlign w:val="center"/>
          </w:tcPr>
          <w:p>
            <w:pPr>
              <w:spacing w:line="300" w:lineRule="exact"/>
              <w:jc w:val="right"/>
              <w:rPr>
                <w:rFonts w:ascii="????_GBK"/>
                <w:b/>
              </w:rPr>
            </w:pPr>
            <w:r>
              <w:rPr>
                <w:rFonts w:ascii="????_GBK"/>
                <w:b/>
              </w:rPr>
              <w:t>3</w:t>
            </w:r>
          </w:p>
        </w:tc>
        <w:tc>
          <w:tcPr>
            <w:tcW w:w="679" w:type="dxa"/>
            <w:vAlign w:val="center"/>
          </w:tcPr>
          <w:p>
            <w:pPr>
              <w:spacing w:line="300" w:lineRule="exact"/>
              <w:jc w:val="right"/>
              <w:rPr>
                <w:rFonts w:ascii="????_GBK" w:eastAsia="Times New Roman"/>
                <w:b/>
              </w:rPr>
            </w:pPr>
          </w:p>
        </w:tc>
        <w:tc>
          <w:tcPr>
            <w:tcW w:w="712" w:type="dxa"/>
            <w:vAlign w:val="center"/>
          </w:tcPr>
          <w:p>
            <w:pPr>
              <w:spacing w:line="300" w:lineRule="exact"/>
              <w:jc w:val="right"/>
              <w:rPr>
                <w:rFonts w:ascii="????_GBK"/>
                <w:b/>
              </w:rPr>
            </w:pPr>
            <w:r>
              <w:rPr>
                <w:rFonts w:ascii="????_GBK"/>
                <w:b/>
              </w:rPr>
              <w:t>22</w:t>
            </w:r>
          </w:p>
        </w:tc>
        <w:tc>
          <w:tcPr>
            <w:tcW w:w="711" w:type="dxa"/>
            <w:vAlign w:val="center"/>
          </w:tcPr>
          <w:p>
            <w:pPr>
              <w:spacing w:line="300" w:lineRule="exact"/>
              <w:jc w:val="right"/>
              <w:rPr>
                <w:rFonts w:ascii="????_GBK"/>
                <w:b/>
              </w:rPr>
            </w:pPr>
            <w:r>
              <w:rPr>
                <w:rFonts w:ascii="????_GBK"/>
                <w:b/>
              </w:rPr>
              <w:t>22</w:t>
            </w:r>
          </w:p>
        </w:tc>
        <w:tc>
          <w:tcPr>
            <w:tcW w:w="711" w:type="dxa"/>
            <w:vAlign w:val="center"/>
          </w:tcPr>
          <w:p>
            <w:pPr>
              <w:spacing w:line="300" w:lineRule="exact"/>
              <w:jc w:val="right"/>
              <w:rPr>
                <w:rFonts w:ascii="????_GBK"/>
                <w:b/>
              </w:rPr>
            </w:pPr>
            <w:r>
              <w:rPr>
                <w:rFonts w:ascii="????_GBK"/>
                <w:b/>
              </w:rPr>
              <w:t>22</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54"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50</w:t>
            </w:r>
          </w:p>
        </w:tc>
        <w:tc>
          <w:tcPr>
            <w:tcW w:w="1575" w:type="dxa"/>
            <w:vAlign w:val="center"/>
          </w:tcPr>
          <w:p>
            <w:pPr>
              <w:spacing w:line="300" w:lineRule="exact"/>
              <w:jc w:val="left"/>
              <w:rPr>
                <w:rFonts w:ascii="????_GBK"/>
                <w:b/>
              </w:rPr>
            </w:pPr>
            <w:r>
              <w:rPr>
                <w:rFonts w:hint="eastAsia" w:ascii="????_GBK"/>
                <w:b/>
              </w:rPr>
              <w:t>财政业务专网改造</w:t>
            </w:r>
          </w:p>
        </w:tc>
        <w:tc>
          <w:tcPr>
            <w:tcW w:w="825" w:type="dxa"/>
            <w:vAlign w:val="center"/>
          </w:tcPr>
          <w:p>
            <w:pPr>
              <w:spacing w:line="300" w:lineRule="exact"/>
              <w:jc w:val="left"/>
              <w:rPr>
                <w:rFonts w:ascii="????_GBK"/>
                <w:b/>
              </w:rPr>
            </w:pPr>
            <w:r>
              <w:rPr>
                <w:rFonts w:ascii="????_GBK"/>
                <w:b/>
              </w:rPr>
              <w:t>B060206</w:t>
            </w:r>
          </w:p>
        </w:tc>
        <w:tc>
          <w:tcPr>
            <w:tcW w:w="407" w:type="dxa"/>
            <w:vAlign w:val="center"/>
          </w:tcPr>
          <w:p>
            <w:pPr>
              <w:spacing w:line="300" w:lineRule="exact"/>
              <w:jc w:val="left"/>
              <w:rPr>
                <w:rFonts w:ascii="????_GBK"/>
                <w:b/>
              </w:rPr>
            </w:pPr>
            <w:r>
              <w:rPr>
                <w:rFonts w:hint="eastAsia" w:ascii="????_GBK"/>
                <w:b/>
              </w:rPr>
              <w:t>次</w:t>
            </w:r>
          </w:p>
        </w:tc>
        <w:tc>
          <w:tcPr>
            <w:tcW w:w="661" w:type="dxa"/>
            <w:vAlign w:val="center"/>
          </w:tcPr>
          <w:p>
            <w:pPr>
              <w:spacing w:line="300" w:lineRule="exact"/>
              <w:jc w:val="right"/>
              <w:rPr>
                <w:rFonts w:ascii="????_GBK"/>
                <w:b/>
              </w:rPr>
            </w:pPr>
            <w:r>
              <w:rPr>
                <w:rFonts w:ascii="????_GBK"/>
                <w:b/>
              </w:rPr>
              <w:t>1</w:t>
            </w:r>
          </w:p>
        </w:tc>
        <w:tc>
          <w:tcPr>
            <w:tcW w:w="679" w:type="dxa"/>
            <w:vAlign w:val="center"/>
          </w:tcPr>
          <w:p>
            <w:pPr>
              <w:spacing w:line="300" w:lineRule="exact"/>
              <w:jc w:val="right"/>
              <w:rPr>
                <w:rFonts w:ascii="????_GBK"/>
                <w:b/>
              </w:rPr>
            </w:pPr>
            <w:r>
              <w:rPr>
                <w:rFonts w:ascii="????_GBK"/>
                <w:b/>
              </w:rPr>
              <w:t>50</w:t>
            </w:r>
          </w:p>
        </w:tc>
        <w:tc>
          <w:tcPr>
            <w:tcW w:w="712" w:type="dxa"/>
            <w:vAlign w:val="center"/>
          </w:tcPr>
          <w:p>
            <w:pPr>
              <w:spacing w:line="300" w:lineRule="exact"/>
              <w:jc w:val="right"/>
              <w:rPr>
                <w:rFonts w:ascii="????_GBK"/>
                <w:b/>
              </w:rPr>
            </w:pPr>
            <w:r>
              <w:rPr>
                <w:rFonts w:ascii="????_GBK"/>
                <w:b/>
              </w:rPr>
              <w:t>50</w:t>
            </w:r>
          </w:p>
        </w:tc>
        <w:tc>
          <w:tcPr>
            <w:tcW w:w="711" w:type="dxa"/>
            <w:vAlign w:val="center"/>
          </w:tcPr>
          <w:p>
            <w:pPr>
              <w:spacing w:line="300" w:lineRule="exact"/>
              <w:jc w:val="right"/>
              <w:rPr>
                <w:rFonts w:ascii="????_GBK"/>
                <w:b/>
              </w:rPr>
            </w:pPr>
            <w:r>
              <w:rPr>
                <w:rFonts w:ascii="????_GBK"/>
                <w:b/>
              </w:rPr>
              <w:t>50</w:t>
            </w:r>
          </w:p>
        </w:tc>
        <w:tc>
          <w:tcPr>
            <w:tcW w:w="711" w:type="dxa"/>
            <w:vAlign w:val="center"/>
          </w:tcPr>
          <w:p>
            <w:pPr>
              <w:spacing w:line="300" w:lineRule="exact"/>
              <w:jc w:val="right"/>
              <w:rPr>
                <w:rFonts w:ascii="????_GBK"/>
                <w:b/>
              </w:rPr>
            </w:pPr>
            <w:r>
              <w:rPr>
                <w:rFonts w:ascii="????_GBK"/>
                <w:b/>
              </w:rPr>
              <w:t>50</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3"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30</w:t>
            </w:r>
          </w:p>
        </w:tc>
        <w:tc>
          <w:tcPr>
            <w:tcW w:w="1575" w:type="dxa"/>
            <w:vAlign w:val="center"/>
          </w:tcPr>
          <w:p>
            <w:pPr>
              <w:spacing w:line="300" w:lineRule="exact"/>
              <w:jc w:val="left"/>
              <w:rPr>
                <w:rFonts w:ascii="????_GBK"/>
                <w:b/>
              </w:rPr>
            </w:pPr>
            <w:r>
              <w:rPr>
                <w:rFonts w:hint="eastAsia" w:ascii="????_GBK"/>
                <w:b/>
              </w:rPr>
              <w:t>预算国库支付改革</w:t>
            </w:r>
          </w:p>
        </w:tc>
        <w:tc>
          <w:tcPr>
            <w:tcW w:w="825" w:type="dxa"/>
            <w:vAlign w:val="center"/>
          </w:tcPr>
          <w:p>
            <w:pPr>
              <w:spacing w:line="300" w:lineRule="exact"/>
              <w:jc w:val="left"/>
              <w:rPr>
                <w:rFonts w:ascii="????_GBK"/>
                <w:b/>
              </w:rPr>
            </w:pPr>
            <w:r>
              <w:rPr>
                <w:rFonts w:ascii="????_GBK"/>
                <w:b/>
              </w:rPr>
              <w:t>B060206</w:t>
            </w:r>
          </w:p>
        </w:tc>
        <w:tc>
          <w:tcPr>
            <w:tcW w:w="407" w:type="dxa"/>
            <w:vAlign w:val="center"/>
          </w:tcPr>
          <w:p>
            <w:pPr>
              <w:spacing w:line="300" w:lineRule="exact"/>
              <w:jc w:val="left"/>
              <w:rPr>
                <w:rFonts w:ascii="????_GBK"/>
                <w:b/>
              </w:rPr>
            </w:pPr>
            <w:r>
              <w:rPr>
                <w:rFonts w:hint="eastAsia" w:ascii="????_GBK"/>
                <w:b/>
              </w:rPr>
              <w:t>次</w:t>
            </w:r>
          </w:p>
        </w:tc>
        <w:tc>
          <w:tcPr>
            <w:tcW w:w="661" w:type="dxa"/>
            <w:vAlign w:val="center"/>
          </w:tcPr>
          <w:p>
            <w:pPr>
              <w:spacing w:line="300" w:lineRule="exact"/>
              <w:jc w:val="right"/>
              <w:rPr>
                <w:rFonts w:ascii="????_GBK"/>
                <w:b/>
              </w:rPr>
            </w:pPr>
            <w:r>
              <w:rPr>
                <w:rFonts w:ascii="????_GBK"/>
                <w:b/>
              </w:rPr>
              <w:t>3</w:t>
            </w:r>
          </w:p>
        </w:tc>
        <w:tc>
          <w:tcPr>
            <w:tcW w:w="679" w:type="dxa"/>
            <w:vAlign w:val="center"/>
          </w:tcPr>
          <w:p>
            <w:pPr>
              <w:spacing w:line="300" w:lineRule="exact"/>
              <w:jc w:val="right"/>
              <w:rPr>
                <w:rFonts w:ascii="????_GBK"/>
                <w:b/>
              </w:rPr>
            </w:pPr>
            <w:r>
              <w:rPr>
                <w:rFonts w:ascii="????_GBK"/>
                <w:b/>
              </w:rPr>
              <w:t>10</w:t>
            </w:r>
          </w:p>
        </w:tc>
        <w:tc>
          <w:tcPr>
            <w:tcW w:w="712" w:type="dxa"/>
            <w:vAlign w:val="center"/>
          </w:tcPr>
          <w:p>
            <w:pPr>
              <w:spacing w:line="300" w:lineRule="exact"/>
              <w:jc w:val="right"/>
              <w:rPr>
                <w:rFonts w:ascii="????_GBK"/>
                <w:b/>
              </w:rPr>
            </w:pPr>
            <w:r>
              <w:rPr>
                <w:rFonts w:ascii="????_GBK"/>
                <w:b/>
              </w:rPr>
              <w:t>30</w:t>
            </w:r>
          </w:p>
        </w:tc>
        <w:tc>
          <w:tcPr>
            <w:tcW w:w="711" w:type="dxa"/>
            <w:vAlign w:val="center"/>
          </w:tcPr>
          <w:p>
            <w:pPr>
              <w:spacing w:line="300" w:lineRule="exact"/>
              <w:jc w:val="right"/>
              <w:rPr>
                <w:rFonts w:ascii="????_GBK"/>
                <w:b/>
              </w:rPr>
            </w:pPr>
            <w:r>
              <w:rPr>
                <w:rFonts w:ascii="????_GBK"/>
                <w:b/>
              </w:rPr>
              <w:t>30</w:t>
            </w:r>
          </w:p>
        </w:tc>
        <w:tc>
          <w:tcPr>
            <w:tcW w:w="711" w:type="dxa"/>
            <w:vAlign w:val="center"/>
          </w:tcPr>
          <w:p>
            <w:pPr>
              <w:spacing w:line="300" w:lineRule="exact"/>
              <w:jc w:val="right"/>
              <w:rPr>
                <w:rFonts w:ascii="????_GBK"/>
                <w:b/>
              </w:rPr>
            </w:pPr>
            <w:r>
              <w:rPr>
                <w:rFonts w:ascii="????_GBK"/>
                <w:b/>
              </w:rPr>
              <w:t>30</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3"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10</w:t>
            </w:r>
          </w:p>
        </w:tc>
        <w:tc>
          <w:tcPr>
            <w:tcW w:w="1575" w:type="dxa"/>
            <w:vAlign w:val="center"/>
          </w:tcPr>
          <w:p>
            <w:pPr>
              <w:spacing w:line="300" w:lineRule="exact"/>
              <w:jc w:val="left"/>
              <w:rPr>
                <w:rFonts w:ascii="????_GBK"/>
                <w:b/>
              </w:rPr>
            </w:pPr>
            <w:r>
              <w:rPr>
                <w:rFonts w:hint="eastAsia" w:ascii="????_GBK"/>
                <w:b/>
              </w:rPr>
              <w:t>视频会议改造</w:t>
            </w:r>
          </w:p>
        </w:tc>
        <w:tc>
          <w:tcPr>
            <w:tcW w:w="825" w:type="dxa"/>
            <w:vAlign w:val="center"/>
          </w:tcPr>
          <w:p>
            <w:pPr>
              <w:spacing w:line="300" w:lineRule="exact"/>
              <w:jc w:val="left"/>
              <w:rPr>
                <w:rFonts w:ascii="????_GBK"/>
                <w:b/>
              </w:rPr>
            </w:pPr>
            <w:r>
              <w:rPr>
                <w:rFonts w:ascii="????_GBK"/>
                <w:b/>
              </w:rPr>
              <w:t>A020808</w:t>
            </w:r>
          </w:p>
        </w:tc>
        <w:tc>
          <w:tcPr>
            <w:tcW w:w="407" w:type="dxa"/>
            <w:vAlign w:val="center"/>
          </w:tcPr>
          <w:p>
            <w:pPr>
              <w:spacing w:line="300" w:lineRule="exact"/>
              <w:jc w:val="left"/>
              <w:rPr>
                <w:rFonts w:ascii="????_GBK"/>
                <w:b/>
              </w:rPr>
            </w:pPr>
            <w:r>
              <w:rPr>
                <w:rFonts w:hint="eastAsia" w:ascii="????_GBK"/>
                <w:b/>
              </w:rPr>
              <w:t>次</w:t>
            </w:r>
          </w:p>
        </w:tc>
        <w:tc>
          <w:tcPr>
            <w:tcW w:w="661" w:type="dxa"/>
            <w:vAlign w:val="center"/>
          </w:tcPr>
          <w:p>
            <w:pPr>
              <w:spacing w:line="300" w:lineRule="exact"/>
              <w:jc w:val="right"/>
              <w:rPr>
                <w:rFonts w:ascii="????_GBK"/>
                <w:b/>
              </w:rPr>
            </w:pPr>
            <w:r>
              <w:rPr>
                <w:rFonts w:ascii="????_GBK"/>
                <w:b/>
              </w:rPr>
              <w:t>1</w:t>
            </w:r>
          </w:p>
        </w:tc>
        <w:tc>
          <w:tcPr>
            <w:tcW w:w="679" w:type="dxa"/>
            <w:vAlign w:val="center"/>
          </w:tcPr>
          <w:p>
            <w:pPr>
              <w:spacing w:line="300" w:lineRule="exact"/>
              <w:jc w:val="right"/>
              <w:rPr>
                <w:rFonts w:ascii="????_GBK"/>
                <w:b/>
              </w:rPr>
            </w:pPr>
            <w:r>
              <w:rPr>
                <w:rFonts w:ascii="????_GBK"/>
                <w:b/>
              </w:rPr>
              <w:t>10</w:t>
            </w:r>
          </w:p>
        </w:tc>
        <w:tc>
          <w:tcPr>
            <w:tcW w:w="712" w:type="dxa"/>
            <w:vAlign w:val="center"/>
          </w:tcPr>
          <w:p>
            <w:pPr>
              <w:spacing w:line="300" w:lineRule="exact"/>
              <w:jc w:val="right"/>
              <w:rPr>
                <w:rFonts w:ascii="????_GBK"/>
                <w:b/>
              </w:rPr>
            </w:pPr>
            <w:r>
              <w:rPr>
                <w:rFonts w:ascii="????_GBK"/>
                <w:b/>
              </w:rPr>
              <w:t>10</w:t>
            </w:r>
          </w:p>
        </w:tc>
        <w:tc>
          <w:tcPr>
            <w:tcW w:w="711" w:type="dxa"/>
            <w:vAlign w:val="center"/>
          </w:tcPr>
          <w:p>
            <w:pPr>
              <w:spacing w:line="300" w:lineRule="exact"/>
              <w:jc w:val="right"/>
              <w:rPr>
                <w:rFonts w:ascii="????_GBK"/>
                <w:b/>
              </w:rPr>
            </w:pPr>
            <w:r>
              <w:rPr>
                <w:rFonts w:ascii="????_GBK"/>
                <w:b/>
              </w:rPr>
              <w:t>10</w:t>
            </w:r>
          </w:p>
        </w:tc>
        <w:tc>
          <w:tcPr>
            <w:tcW w:w="711" w:type="dxa"/>
            <w:vAlign w:val="center"/>
          </w:tcPr>
          <w:p>
            <w:pPr>
              <w:spacing w:line="300" w:lineRule="exact"/>
              <w:jc w:val="right"/>
              <w:rPr>
                <w:rFonts w:ascii="????_GBK"/>
                <w:b/>
              </w:rPr>
            </w:pPr>
            <w:r>
              <w:rPr>
                <w:rFonts w:ascii="????_GBK"/>
                <w:b/>
              </w:rPr>
              <w:t>10</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3"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15</w:t>
            </w:r>
          </w:p>
        </w:tc>
        <w:tc>
          <w:tcPr>
            <w:tcW w:w="1575" w:type="dxa"/>
            <w:vAlign w:val="center"/>
          </w:tcPr>
          <w:p>
            <w:pPr>
              <w:spacing w:line="300" w:lineRule="exact"/>
              <w:jc w:val="left"/>
              <w:rPr>
                <w:rFonts w:ascii="????_GBK"/>
                <w:b/>
              </w:rPr>
            </w:pPr>
            <w:r>
              <w:rPr>
                <w:rFonts w:hint="eastAsia" w:ascii="????_GBK"/>
                <w:b/>
              </w:rPr>
              <w:t>电脑耗材</w:t>
            </w:r>
          </w:p>
        </w:tc>
        <w:tc>
          <w:tcPr>
            <w:tcW w:w="825" w:type="dxa"/>
            <w:vAlign w:val="center"/>
          </w:tcPr>
          <w:p>
            <w:pPr>
              <w:spacing w:line="300" w:lineRule="exact"/>
              <w:jc w:val="left"/>
              <w:rPr>
                <w:rFonts w:ascii="????_GBK"/>
                <w:b/>
              </w:rPr>
            </w:pPr>
            <w:r>
              <w:rPr>
                <w:rFonts w:ascii="????_GBK"/>
                <w:b/>
              </w:rPr>
              <w:t>A09</w:t>
            </w:r>
          </w:p>
        </w:tc>
        <w:tc>
          <w:tcPr>
            <w:tcW w:w="407" w:type="dxa"/>
            <w:vAlign w:val="center"/>
          </w:tcPr>
          <w:p>
            <w:pPr>
              <w:spacing w:line="300" w:lineRule="exact"/>
              <w:jc w:val="left"/>
              <w:rPr>
                <w:rFonts w:ascii="????_GBK"/>
                <w:b/>
              </w:rPr>
            </w:pPr>
            <w:r>
              <w:rPr>
                <w:rFonts w:hint="eastAsia" w:ascii="????_GBK"/>
                <w:b/>
              </w:rPr>
              <w:t>批</w:t>
            </w:r>
          </w:p>
        </w:tc>
        <w:tc>
          <w:tcPr>
            <w:tcW w:w="661" w:type="dxa"/>
            <w:vAlign w:val="center"/>
          </w:tcPr>
          <w:p>
            <w:pPr>
              <w:spacing w:line="300" w:lineRule="exact"/>
              <w:jc w:val="right"/>
              <w:rPr>
                <w:rFonts w:ascii="????_GBK"/>
                <w:b/>
              </w:rPr>
            </w:pPr>
            <w:r>
              <w:rPr>
                <w:rFonts w:ascii="????_GBK"/>
                <w:b/>
              </w:rPr>
              <w:t>5</w:t>
            </w:r>
          </w:p>
        </w:tc>
        <w:tc>
          <w:tcPr>
            <w:tcW w:w="679" w:type="dxa"/>
            <w:vAlign w:val="center"/>
          </w:tcPr>
          <w:p>
            <w:pPr>
              <w:spacing w:line="300" w:lineRule="exact"/>
              <w:jc w:val="right"/>
              <w:rPr>
                <w:rFonts w:ascii="????_GBK"/>
                <w:b/>
              </w:rPr>
            </w:pPr>
            <w:r>
              <w:rPr>
                <w:rFonts w:ascii="????_GBK"/>
                <w:b/>
              </w:rPr>
              <w:t>3</w:t>
            </w:r>
          </w:p>
        </w:tc>
        <w:tc>
          <w:tcPr>
            <w:tcW w:w="712" w:type="dxa"/>
            <w:vAlign w:val="center"/>
          </w:tcPr>
          <w:p>
            <w:pPr>
              <w:spacing w:line="300" w:lineRule="exact"/>
              <w:jc w:val="right"/>
              <w:rPr>
                <w:rFonts w:ascii="????_GBK"/>
                <w:b/>
              </w:rPr>
            </w:pPr>
            <w:r>
              <w:rPr>
                <w:rFonts w:ascii="????_GBK"/>
                <w:b/>
              </w:rPr>
              <w:t>15</w:t>
            </w:r>
          </w:p>
        </w:tc>
        <w:tc>
          <w:tcPr>
            <w:tcW w:w="711" w:type="dxa"/>
            <w:vAlign w:val="center"/>
          </w:tcPr>
          <w:p>
            <w:pPr>
              <w:spacing w:line="300" w:lineRule="exact"/>
              <w:jc w:val="right"/>
              <w:rPr>
                <w:rFonts w:ascii="????_GBK"/>
                <w:b/>
              </w:rPr>
            </w:pPr>
            <w:r>
              <w:rPr>
                <w:rFonts w:ascii="????_GBK"/>
                <w:b/>
              </w:rPr>
              <w:t>15</w:t>
            </w:r>
          </w:p>
        </w:tc>
        <w:tc>
          <w:tcPr>
            <w:tcW w:w="711" w:type="dxa"/>
            <w:vAlign w:val="center"/>
          </w:tcPr>
          <w:p>
            <w:pPr>
              <w:spacing w:line="300" w:lineRule="exact"/>
              <w:jc w:val="right"/>
              <w:rPr>
                <w:rFonts w:ascii="????_GBK"/>
                <w:b/>
              </w:rPr>
            </w:pPr>
            <w:r>
              <w:rPr>
                <w:rFonts w:ascii="????_GBK"/>
                <w:b/>
              </w:rPr>
              <w:t>15</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3"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10</w:t>
            </w:r>
          </w:p>
        </w:tc>
        <w:tc>
          <w:tcPr>
            <w:tcW w:w="1575" w:type="dxa"/>
            <w:vAlign w:val="center"/>
          </w:tcPr>
          <w:p>
            <w:pPr>
              <w:spacing w:line="300" w:lineRule="exact"/>
              <w:jc w:val="left"/>
              <w:rPr>
                <w:rFonts w:ascii="????_GBK"/>
                <w:b/>
              </w:rPr>
            </w:pPr>
            <w:r>
              <w:rPr>
                <w:rFonts w:hint="eastAsia" w:ascii="????_GBK"/>
                <w:b/>
              </w:rPr>
              <w:t>办公用品</w:t>
            </w:r>
          </w:p>
        </w:tc>
        <w:tc>
          <w:tcPr>
            <w:tcW w:w="825" w:type="dxa"/>
            <w:vAlign w:val="center"/>
          </w:tcPr>
          <w:p>
            <w:pPr>
              <w:spacing w:line="300" w:lineRule="exact"/>
              <w:jc w:val="left"/>
              <w:rPr>
                <w:rFonts w:ascii="????_GBK"/>
                <w:b/>
              </w:rPr>
            </w:pPr>
            <w:r>
              <w:rPr>
                <w:rFonts w:ascii="????_GBK"/>
                <w:b/>
              </w:rPr>
              <w:t>A09</w:t>
            </w:r>
          </w:p>
        </w:tc>
        <w:tc>
          <w:tcPr>
            <w:tcW w:w="407" w:type="dxa"/>
            <w:vAlign w:val="center"/>
          </w:tcPr>
          <w:p>
            <w:pPr>
              <w:spacing w:line="300" w:lineRule="exact"/>
              <w:jc w:val="left"/>
              <w:rPr>
                <w:rFonts w:ascii="????_GBK"/>
                <w:b/>
              </w:rPr>
            </w:pPr>
            <w:r>
              <w:rPr>
                <w:rFonts w:hint="eastAsia" w:ascii="????_GBK"/>
                <w:b/>
              </w:rPr>
              <w:t>批</w:t>
            </w:r>
          </w:p>
        </w:tc>
        <w:tc>
          <w:tcPr>
            <w:tcW w:w="661" w:type="dxa"/>
            <w:vAlign w:val="center"/>
          </w:tcPr>
          <w:p>
            <w:pPr>
              <w:spacing w:line="300" w:lineRule="exact"/>
              <w:jc w:val="right"/>
              <w:rPr>
                <w:rFonts w:ascii="????_GBK"/>
                <w:b/>
              </w:rPr>
            </w:pPr>
            <w:r>
              <w:rPr>
                <w:rFonts w:ascii="????_GBK"/>
                <w:b/>
              </w:rPr>
              <w:t>5</w:t>
            </w:r>
          </w:p>
        </w:tc>
        <w:tc>
          <w:tcPr>
            <w:tcW w:w="679" w:type="dxa"/>
            <w:vAlign w:val="center"/>
          </w:tcPr>
          <w:p>
            <w:pPr>
              <w:spacing w:line="300" w:lineRule="exact"/>
              <w:jc w:val="right"/>
              <w:rPr>
                <w:rFonts w:ascii="????_GBK"/>
                <w:b/>
              </w:rPr>
            </w:pPr>
            <w:r>
              <w:rPr>
                <w:rFonts w:ascii="????_GBK"/>
                <w:b/>
              </w:rPr>
              <w:t>2</w:t>
            </w:r>
          </w:p>
        </w:tc>
        <w:tc>
          <w:tcPr>
            <w:tcW w:w="712" w:type="dxa"/>
            <w:vAlign w:val="center"/>
          </w:tcPr>
          <w:p>
            <w:pPr>
              <w:spacing w:line="300" w:lineRule="exact"/>
              <w:jc w:val="right"/>
              <w:rPr>
                <w:rFonts w:ascii="????_GBK"/>
                <w:b/>
              </w:rPr>
            </w:pPr>
            <w:r>
              <w:rPr>
                <w:rFonts w:ascii="????_GBK"/>
                <w:b/>
              </w:rPr>
              <w:t>10</w:t>
            </w:r>
          </w:p>
        </w:tc>
        <w:tc>
          <w:tcPr>
            <w:tcW w:w="711" w:type="dxa"/>
            <w:vAlign w:val="center"/>
          </w:tcPr>
          <w:p>
            <w:pPr>
              <w:spacing w:line="300" w:lineRule="exact"/>
              <w:jc w:val="right"/>
              <w:rPr>
                <w:rFonts w:ascii="????_GBK"/>
                <w:b/>
              </w:rPr>
            </w:pPr>
            <w:r>
              <w:rPr>
                <w:rFonts w:ascii="????_GBK"/>
                <w:b/>
              </w:rPr>
              <w:t>10</w:t>
            </w:r>
          </w:p>
        </w:tc>
        <w:tc>
          <w:tcPr>
            <w:tcW w:w="711" w:type="dxa"/>
            <w:vAlign w:val="center"/>
          </w:tcPr>
          <w:p>
            <w:pPr>
              <w:spacing w:line="300" w:lineRule="exact"/>
              <w:jc w:val="right"/>
              <w:rPr>
                <w:rFonts w:ascii="????_GBK"/>
                <w:b/>
              </w:rPr>
            </w:pPr>
            <w:r>
              <w:rPr>
                <w:rFonts w:ascii="????_GBK"/>
                <w:b/>
              </w:rPr>
              <w:t>10</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733"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60</w:t>
            </w:r>
          </w:p>
        </w:tc>
        <w:tc>
          <w:tcPr>
            <w:tcW w:w="1575" w:type="dxa"/>
            <w:vAlign w:val="center"/>
          </w:tcPr>
          <w:p>
            <w:pPr>
              <w:spacing w:line="300" w:lineRule="exact"/>
              <w:jc w:val="left"/>
              <w:rPr>
                <w:rFonts w:ascii="????_GBK"/>
                <w:b/>
              </w:rPr>
            </w:pPr>
            <w:r>
              <w:rPr>
                <w:rFonts w:hint="eastAsia" w:ascii="????_GBK"/>
                <w:b/>
              </w:rPr>
              <w:t>综合治税宣传</w:t>
            </w:r>
          </w:p>
        </w:tc>
        <w:tc>
          <w:tcPr>
            <w:tcW w:w="825" w:type="dxa"/>
            <w:vAlign w:val="center"/>
          </w:tcPr>
          <w:p>
            <w:pPr>
              <w:spacing w:line="300" w:lineRule="exact"/>
              <w:jc w:val="left"/>
              <w:rPr>
                <w:rFonts w:ascii="????_GBK"/>
                <w:b/>
              </w:rPr>
            </w:pPr>
            <w:r>
              <w:rPr>
                <w:rFonts w:ascii="????_GBK"/>
                <w:b/>
              </w:rPr>
              <w:t>C0806</w:t>
            </w:r>
          </w:p>
        </w:tc>
        <w:tc>
          <w:tcPr>
            <w:tcW w:w="407" w:type="dxa"/>
            <w:vAlign w:val="center"/>
          </w:tcPr>
          <w:p>
            <w:pPr>
              <w:spacing w:line="300" w:lineRule="exact"/>
              <w:jc w:val="left"/>
              <w:rPr>
                <w:rFonts w:ascii="????_GBK"/>
                <w:b/>
              </w:rPr>
            </w:pPr>
            <w:r>
              <w:rPr>
                <w:rFonts w:hint="eastAsia" w:ascii="????_GBK"/>
                <w:b/>
              </w:rPr>
              <w:t>批</w:t>
            </w:r>
          </w:p>
        </w:tc>
        <w:tc>
          <w:tcPr>
            <w:tcW w:w="661" w:type="dxa"/>
            <w:vAlign w:val="center"/>
          </w:tcPr>
          <w:p>
            <w:pPr>
              <w:spacing w:line="300" w:lineRule="exact"/>
              <w:jc w:val="right"/>
              <w:rPr>
                <w:rFonts w:ascii="????_GBK"/>
                <w:b/>
              </w:rPr>
            </w:pPr>
            <w:r>
              <w:rPr>
                <w:rFonts w:ascii="????_GBK"/>
                <w:b/>
              </w:rPr>
              <w:t>1</w:t>
            </w:r>
          </w:p>
        </w:tc>
        <w:tc>
          <w:tcPr>
            <w:tcW w:w="679" w:type="dxa"/>
            <w:vAlign w:val="center"/>
          </w:tcPr>
          <w:p>
            <w:pPr>
              <w:spacing w:line="300" w:lineRule="exact"/>
              <w:jc w:val="right"/>
              <w:rPr>
                <w:rFonts w:ascii="????_GBK"/>
                <w:b/>
              </w:rPr>
            </w:pPr>
            <w:r>
              <w:rPr>
                <w:rFonts w:ascii="????_GBK"/>
                <w:b/>
              </w:rPr>
              <w:t>60</w:t>
            </w:r>
          </w:p>
        </w:tc>
        <w:tc>
          <w:tcPr>
            <w:tcW w:w="712" w:type="dxa"/>
            <w:vAlign w:val="center"/>
          </w:tcPr>
          <w:p>
            <w:pPr>
              <w:spacing w:line="300" w:lineRule="exact"/>
              <w:jc w:val="right"/>
              <w:rPr>
                <w:rFonts w:ascii="????_GBK"/>
                <w:b/>
              </w:rPr>
            </w:pPr>
            <w:r>
              <w:rPr>
                <w:rFonts w:ascii="????_GBK"/>
                <w:b/>
              </w:rPr>
              <w:t>60</w:t>
            </w:r>
          </w:p>
        </w:tc>
        <w:tc>
          <w:tcPr>
            <w:tcW w:w="711" w:type="dxa"/>
            <w:vAlign w:val="center"/>
          </w:tcPr>
          <w:p>
            <w:pPr>
              <w:spacing w:line="300" w:lineRule="exact"/>
              <w:jc w:val="right"/>
              <w:rPr>
                <w:rFonts w:ascii="????_GBK"/>
                <w:b/>
              </w:rPr>
            </w:pPr>
            <w:r>
              <w:rPr>
                <w:rFonts w:ascii="????_GBK"/>
                <w:b/>
              </w:rPr>
              <w:t>60</w:t>
            </w:r>
          </w:p>
        </w:tc>
        <w:tc>
          <w:tcPr>
            <w:tcW w:w="711" w:type="dxa"/>
            <w:vAlign w:val="center"/>
          </w:tcPr>
          <w:p>
            <w:pPr>
              <w:spacing w:line="300" w:lineRule="exact"/>
              <w:jc w:val="right"/>
              <w:rPr>
                <w:rFonts w:ascii="????_GBK"/>
                <w:b/>
              </w:rPr>
            </w:pPr>
            <w:r>
              <w:rPr>
                <w:rFonts w:ascii="????_GBK"/>
                <w:b/>
              </w:rPr>
              <w:t>60</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3"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20</w:t>
            </w:r>
          </w:p>
        </w:tc>
        <w:tc>
          <w:tcPr>
            <w:tcW w:w="1575" w:type="dxa"/>
            <w:vAlign w:val="center"/>
          </w:tcPr>
          <w:p>
            <w:pPr>
              <w:spacing w:line="300" w:lineRule="exact"/>
              <w:jc w:val="left"/>
              <w:rPr>
                <w:rFonts w:ascii="????_GBK"/>
                <w:b/>
              </w:rPr>
            </w:pPr>
            <w:r>
              <w:rPr>
                <w:rFonts w:hint="eastAsia" w:ascii="????_GBK"/>
                <w:b/>
              </w:rPr>
              <w:t>村级一事一议宣传</w:t>
            </w:r>
          </w:p>
        </w:tc>
        <w:tc>
          <w:tcPr>
            <w:tcW w:w="825" w:type="dxa"/>
            <w:vAlign w:val="center"/>
          </w:tcPr>
          <w:p>
            <w:pPr>
              <w:spacing w:line="300" w:lineRule="exact"/>
              <w:jc w:val="left"/>
              <w:rPr>
                <w:rFonts w:ascii="????_GBK"/>
                <w:b/>
              </w:rPr>
            </w:pPr>
            <w:r>
              <w:rPr>
                <w:rFonts w:ascii="????_GBK"/>
                <w:b/>
              </w:rPr>
              <w:t>C0806</w:t>
            </w:r>
          </w:p>
        </w:tc>
        <w:tc>
          <w:tcPr>
            <w:tcW w:w="407" w:type="dxa"/>
            <w:vAlign w:val="center"/>
          </w:tcPr>
          <w:p>
            <w:pPr>
              <w:spacing w:line="300" w:lineRule="exact"/>
              <w:jc w:val="left"/>
              <w:rPr>
                <w:rFonts w:ascii="????_GBK"/>
                <w:b/>
              </w:rPr>
            </w:pPr>
            <w:r>
              <w:rPr>
                <w:rFonts w:hint="eastAsia" w:ascii="????_GBK"/>
                <w:b/>
              </w:rPr>
              <w:t>批</w:t>
            </w:r>
          </w:p>
        </w:tc>
        <w:tc>
          <w:tcPr>
            <w:tcW w:w="661" w:type="dxa"/>
            <w:vAlign w:val="center"/>
          </w:tcPr>
          <w:p>
            <w:pPr>
              <w:spacing w:line="300" w:lineRule="exact"/>
              <w:jc w:val="right"/>
              <w:rPr>
                <w:rFonts w:ascii="????_GBK"/>
                <w:b/>
              </w:rPr>
            </w:pPr>
            <w:r>
              <w:rPr>
                <w:rFonts w:ascii="????_GBK"/>
                <w:b/>
              </w:rPr>
              <w:t>1</w:t>
            </w:r>
          </w:p>
        </w:tc>
        <w:tc>
          <w:tcPr>
            <w:tcW w:w="679" w:type="dxa"/>
            <w:vAlign w:val="center"/>
          </w:tcPr>
          <w:p>
            <w:pPr>
              <w:spacing w:line="300" w:lineRule="exact"/>
              <w:jc w:val="right"/>
              <w:rPr>
                <w:rFonts w:ascii="????_GBK"/>
                <w:b/>
              </w:rPr>
            </w:pPr>
            <w:r>
              <w:rPr>
                <w:rFonts w:ascii="????_GBK"/>
                <w:b/>
              </w:rPr>
              <w:t>20</w:t>
            </w:r>
          </w:p>
        </w:tc>
        <w:tc>
          <w:tcPr>
            <w:tcW w:w="712" w:type="dxa"/>
            <w:vAlign w:val="center"/>
          </w:tcPr>
          <w:p>
            <w:pPr>
              <w:spacing w:line="300" w:lineRule="exact"/>
              <w:jc w:val="right"/>
              <w:rPr>
                <w:rFonts w:ascii="????_GBK"/>
                <w:b/>
              </w:rPr>
            </w:pPr>
            <w:r>
              <w:rPr>
                <w:rFonts w:ascii="????_GBK"/>
                <w:b/>
              </w:rPr>
              <w:t>20</w:t>
            </w:r>
          </w:p>
        </w:tc>
        <w:tc>
          <w:tcPr>
            <w:tcW w:w="711" w:type="dxa"/>
            <w:vAlign w:val="center"/>
          </w:tcPr>
          <w:p>
            <w:pPr>
              <w:spacing w:line="300" w:lineRule="exact"/>
              <w:jc w:val="right"/>
              <w:rPr>
                <w:rFonts w:ascii="????_GBK"/>
                <w:b/>
              </w:rPr>
            </w:pPr>
            <w:r>
              <w:rPr>
                <w:rFonts w:ascii="????_GBK"/>
                <w:b/>
              </w:rPr>
              <w:t>20</w:t>
            </w:r>
          </w:p>
        </w:tc>
        <w:tc>
          <w:tcPr>
            <w:tcW w:w="711" w:type="dxa"/>
            <w:vAlign w:val="center"/>
          </w:tcPr>
          <w:p>
            <w:pPr>
              <w:spacing w:line="300" w:lineRule="exact"/>
              <w:jc w:val="right"/>
              <w:rPr>
                <w:rFonts w:ascii="????_GBK"/>
                <w:b/>
              </w:rPr>
            </w:pPr>
            <w:r>
              <w:rPr>
                <w:rFonts w:ascii="????_GBK"/>
                <w:b/>
              </w:rPr>
              <w:t>20</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3"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20</w:t>
            </w:r>
          </w:p>
        </w:tc>
        <w:tc>
          <w:tcPr>
            <w:tcW w:w="1575" w:type="dxa"/>
            <w:vAlign w:val="center"/>
          </w:tcPr>
          <w:p>
            <w:pPr>
              <w:spacing w:line="300" w:lineRule="exact"/>
              <w:jc w:val="left"/>
              <w:rPr>
                <w:rFonts w:ascii="????_GBK"/>
                <w:b/>
              </w:rPr>
            </w:pPr>
            <w:r>
              <w:rPr>
                <w:rFonts w:hint="eastAsia" w:ascii="????_GBK"/>
                <w:b/>
              </w:rPr>
              <w:t>印刷费</w:t>
            </w:r>
          </w:p>
        </w:tc>
        <w:tc>
          <w:tcPr>
            <w:tcW w:w="825" w:type="dxa"/>
            <w:vAlign w:val="center"/>
          </w:tcPr>
          <w:p>
            <w:pPr>
              <w:spacing w:line="300" w:lineRule="exact"/>
              <w:jc w:val="left"/>
              <w:rPr>
                <w:rFonts w:ascii="????_GBK"/>
                <w:b/>
              </w:rPr>
            </w:pPr>
            <w:r>
              <w:rPr>
                <w:rFonts w:ascii="????_GBK"/>
                <w:b/>
              </w:rPr>
              <w:t>A0802</w:t>
            </w:r>
          </w:p>
        </w:tc>
        <w:tc>
          <w:tcPr>
            <w:tcW w:w="407" w:type="dxa"/>
            <w:vAlign w:val="center"/>
          </w:tcPr>
          <w:p>
            <w:pPr>
              <w:spacing w:line="300" w:lineRule="exact"/>
              <w:jc w:val="left"/>
              <w:rPr>
                <w:rFonts w:ascii="????_GBK"/>
                <w:b/>
              </w:rPr>
            </w:pPr>
            <w:r>
              <w:rPr>
                <w:rFonts w:hint="eastAsia" w:ascii="????_GBK"/>
                <w:b/>
              </w:rPr>
              <w:t>批</w:t>
            </w:r>
          </w:p>
        </w:tc>
        <w:tc>
          <w:tcPr>
            <w:tcW w:w="661" w:type="dxa"/>
            <w:vAlign w:val="center"/>
          </w:tcPr>
          <w:p>
            <w:pPr>
              <w:spacing w:line="300" w:lineRule="exact"/>
              <w:jc w:val="right"/>
              <w:rPr>
                <w:rFonts w:ascii="????_GBK"/>
                <w:b/>
              </w:rPr>
            </w:pPr>
            <w:r>
              <w:rPr>
                <w:rFonts w:ascii="????_GBK"/>
                <w:b/>
              </w:rPr>
              <w:t>1</w:t>
            </w:r>
          </w:p>
        </w:tc>
        <w:tc>
          <w:tcPr>
            <w:tcW w:w="679" w:type="dxa"/>
            <w:vAlign w:val="center"/>
          </w:tcPr>
          <w:p>
            <w:pPr>
              <w:spacing w:line="300" w:lineRule="exact"/>
              <w:jc w:val="right"/>
              <w:rPr>
                <w:rFonts w:ascii="????_GBK"/>
                <w:b/>
              </w:rPr>
            </w:pPr>
            <w:r>
              <w:rPr>
                <w:rFonts w:ascii="????_GBK"/>
                <w:b/>
              </w:rPr>
              <w:t>20</w:t>
            </w:r>
          </w:p>
        </w:tc>
        <w:tc>
          <w:tcPr>
            <w:tcW w:w="712" w:type="dxa"/>
            <w:vAlign w:val="center"/>
          </w:tcPr>
          <w:p>
            <w:pPr>
              <w:spacing w:line="300" w:lineRule="exact"/>
              <w:jc w:val="right"/>
              <w:rPr>
                <w:rFonts w:ascii="????_GBK"/>
                <w:b/>
              </w:rPr>
            </w:pPr>
            <w:r>
              <w:rPr>
                <w:rFonts w:ascii="????_GBK"/>
                <w:b/>
              </w:rPr>
              <w:t>20</w:t>
            </w:r>
          </w:p>
        </w:tc>
        <w:tc>
          <w:tcPr>
            <w:tcW w:w="711" w:type="dxa"/>
            <w:vAlign w:val="center"/>
          </w:tcPr>
          <w:p>
            <w:pPr>
              <w:spacing w:line="300" w:lineRule="exact"/>
              <w:jc w:val="right"/>
              <w:rPr>
                <w:rFonts w:ascii="????_GBK"/>
                <w:b/>
              </w:rPr>
            </w:pPr>
            <w:r>
              <w:rPr>
                <w:rFonts w:ascii="????_GBK"/>
                <w:b/>
              </w:rPr>
              <w:t>20</w:t>
            </w:r>
          </w:p>
        </w:tc>
        <w:tc>
          <w:tcPr>
            <w:tcW w:w="711" w:type="dxa"/>
            <w:vAlign w:val="center"/>
          </w:tcPr>
          <w:p>
            <w:pPr>
              <w:spacing w:line="300" w:lineRule="exact"/>
              <w:jc w:val="right"/>
              <w:rPr>
                <w:rFonts w:ascii="????_GBK"/>
                <w:b/>
              </w:rPr>
            </w:pPr>
            <w:r>
              <w:rPr>
                <w:rFonts w:ascii="????_GBK"/>
                <w:b/>
              </w:rPr>
              <w:t>20</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3"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13</w:t>
            </w:r>
          </w:p>
        </w:tc>
        <w:tc>
          <w:tcPr>
            <w:tcW w:w="1575" w:type="dxa"/>
            <w:vAlign w:val="center"/>
          </w:tcPr>
          <w:p>
            <w:pPr>
              <w:spacing w:line="300" w:lineRule="exact"/>
              <w:jc w:val="left"/>
              <w:rPr>
                <w:rFonts w:ascii="????_GBK"/>
                <w:b/>
              </w:rPr>
            </w:pPr>
            <w:r>
              <w:rPr>
                <w:rFonts w:hint="eastAsia" w:ascii="????_GBK"/>
                <w:b/>
              </w:rPr>
              <w:t>维修（护）（政务内网及非税内网）费</w:t>
            </w:r>
          </w:p>
        </w:tc>
        <w:tc>
          <w:tcPr>
            <w:tcW w:w="825" w:type="dxa"/>
            <w:vAlign w:val="center"/>
          </w:tcPr>
          <w:p>
            <w:pPr>
              <w:spacing w:line="300" w:lineRule="exact"/>
              <w:jc w:val="left"/>
              <w:rPr>
                <w:rFonts w:ascii="????_GBK"/>
                <w:b/>
              </w:rPr>
            </w:pPr>
            <w:r>
              <w:rPr>
                <w:rFonts w:ascii="????_GBK"/>
                <w:b/>
              </w:rPr>
              <w:t>0206</w:t>
            </w:r>
          </w:p>
        </w:tc>
        <w:tc>
          <w:tcPr>
            <w:tcW w:w="407" w:type="dxa"/>
            <w:vAlign w:val="center"/>
          </w:tcPr>
          <w:p>
            <w:pPr>
              <w:spacing w:line="300" w:lineRule="exact"/>
              <w:jc w:val="left"/>
              <w:rPr>
                <w:rFonts w:ascii="????_GBK"/>
                <w:b/>
              </w:rPr>
            </w:pPr>
            <w:r>
              <w:rPr>
                <w:rFonts w:hint="eastAsia" w:ascii="????_GBK"/>
                <w:b/>
              </w:rPr>
              <w:t>批</w:t>
            </w:r>
          </w:p>
        </w:tc>
        <w:tc>
          <w:tcPr>
            <w:tcW w:w="661" w:type="dxa"/>
            <w:vAlign w:val="center"/>
          </w:tcPr>
          <w:p>
            <w:pPr>
              <w:spacing w:line="300" w:lineRule="exact"/>
              <w:jc w:val="right"/>
              <w:rPr>
                <w:rFonts w:ascii="????_GBK"/>
                <w:b/>
              </w:rPr>
            </w:pPr>
            <w:r>
              <w:rPr>
                <w:rFonts w:ascii="????_GBK"/>
                <w:b/>
              </w:rPr>
              <w:t>2</w:t>
            </w:r>
          </w:p>
        </w:tc>
        <w:tc>
          <w:tcPr>
            <w:tcW w:w="679" w:type="dxa"/>
            <w:vAlign w:val="center"/>
          </w:tcPr>
          <w:p>
            <w:pPr>
              <w:spacing w:line="300" w:lineRule="exact"/>
              <w:jc w:val="right"/>
              <w:rPr>
                <w:rFonts w:ascii="????_GBK"/>
                <w:b/>
              </w:rPr>
            </w:pPr>
            <w:r>
              <w:rPr>
                <w:rFonts w:ascii="????_GBK"/>
                <w:b/>
              </w:rPr>
              <w:t>6.5</w:t>
            </w:r>
          </w:p>
        </w:tc>
        <w:tc>
          <w:tcPr>
            <w:tcW w:w="712" w:type="dxa"/>
            <w:vAlign w:val="center"/>
          </w:tcPr>
          <w:p>
            <w:pPr>
              <w:spacing w:line="300" w:lineRule="exact"/>
              <w:jc w:val="right"/>
              <w:rPr>
                <w:rFonts w:ascii="????_GBK"/>
                <w:b/>
              </w:rPr>
            </w:pPr>
            <w:r>
              <w:rPr>
                <w:rFonts w:ascii="????_GBK"/>
                <w:b/>
              </w:rPr>
              <w:t>13</w:t>
            </w:r>
          </w:p>
        </w:tc>
        <w:tc>
          <w:tcPr>
            <w:tcW w:w="711" w:type="dxa"/>
            <w:vAlign w:val="center"/>
          </w:tcPr>
          <w:p>
            <w:pPr>
              <w:spacing w:line="300" w:lineRule="exact"/>
              <w:jc w:val="right"/>
              <w:rPr>
                <w:rFonts w:ascii="????_GBK"/>
                <w:b/>
              </w:rPr>
            </w:pPr>
            <w:r>
              <w:rPr>
                <w:rFonts w:ascii="????_GBK"/>
                <w:b/>
              </w:rPr>
              <w:t>13</w:t>
            </w:r>
          </w:p>
        </w:tc>
        <w:tc>
          <w:tcPr>
            <w:tcW w:w="711" w:type="dxa"/>
            <w:vAlign w:val="center"/>
          </w:tcPr>
          <w:p>
            <w:pPr>
              <w:spacing w:line="300" w:lineRule="exact"/>
              <w:jc w:val="right"/>
              <w:rPr>
                <w:rFonts w:ascii="????_GBK"/>
                <w:b/>
              </w:rPr>
            </w:pPr>
            <w:r>
              <w:rPr>
                <w:rFonts w:ascii="????_GBK"/>
                <w:b/>
              </w:rPr>
              <w:t>13</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3"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4.5</w:t>
            </w:r>
          </w:p>
        </w:tc>
        <w:tc>
          <w:tcPr>
            <w:tcW w:w="1575" w:type="dxa"/>
            <w:vAlign w:val="center"/>
          </w:tcPr>
          <w:p>
            <w:pPr>
              <w:spacing w:line="300" w:lineRule="exact"/>
              <w:jc w:val="left"/>
              <w:rPr>
                <w:rFonts w:ascii="????_GBK"/>
                <w:b/>
              </w:rPr>
            </w:pPr>
            <w:r>
              <w:rPr>
                <w:rFonts w:hint="eastAsia" w:ascii="????_GBK"/>
                <w:b/>
              </w:rPr>
              <w:t>计算机设备</w:t>
            </w:r>
          </w:p>
        </w:tc>
        <w:tc>
          <w:tcPr>
            <w:tcW w:w="825" w:type="dxa"/>
            <w:vAlign w:val="center"/>
          </w:tcPr>
          <w:p>
            <w:pPr>
              <w:spacing w:line="300" w:lineRule="exact"/>
              <w:jc w:val="left"/>
              <w:rPr>
                <w:rFonts w:ascii="????_GBK"/>
                <w:b/>
              </w:rPr>
            </w:pPr>
            <w:r>
              <w:rPr>
                <w:rFonts w:ascii="????_GBK"/>
                <w:b/>
              </w:rPr>
              <w:t>A020101</w:t>
            </w:r>
          </w:p>
        </w:tc>
        <w:tc>
          <w:tcPr>
            <w:tcW w:w="407" w:type="dxa"/>
            <w:vAlign w:val="center"/>
          </w:tcPr>
          <w:p>
            <w:pPr>
              <w:spacing w:line="300" w:lineRule="exact"/>
              <w:jc w:val="left"/>
              <w:rPr>
                <w:rFonts w:ascii="????_GBK"/>
                <w:b/>
              </w:rPr>
            </w:pPr>
            <w:r>
              <w:rPr>
                <w:rFonts w:hint="eastAsia" w:ascii="????_GBK"/>
                <w:b/>
              </w:rPr>
              <w:t>台</w:t>
            </w:r>
          </w:p>
        </w:tc>
        <w:tc>
          <w:tcPr>
            <w:tcW w:w="661" w:type="dxa"/>
            <w:vAlign w:val="center"/>
          </w:tcPr>
          <w:p>
            <w:pPr>
              <w:spacing w:line="300" w:lineRule="exact"/>
              <w:jc w:val="right"/>
              <w:rPr>
                <w:rFonts w:ascii="????_GBK"/>
                <w:b/>
              </w:rPr>
            </w:pPr>
            <w:r>
              <w:rPr>
                <w:rFonts w:ascii="????_GBK"/>
                <w:b/>
              </w:rPr>
              <w:t>9</w:t>
            </w:r>
          </w:p>
        </w:tc>
        <w:tc>
          <w:tcPr>
            <w:tcW w:w="679" w:type="dxa"/>
            <w:vAlign w:val="center"/>
          </w:tcPr>
          <w:p>
            <w:pPr>
              <w:spacing w:line="300" w:lineRule="exact"/>
              <w:jc w:val="right"/>
              <w:rPr>
                <w:rFonts w:ascii="????_GBK"/>
                <w:b/>
              </w:rPr>
            </w:pPr>
            <w:r>
              <w:rPr>
                <w:rFonts w:ascii="????_GBK"/>
                <w:b/>
              </w:rPr>
              <w:t>0.5</w:t>
            </w:r>
          </w:p>
        </w:tc>
        <w:tc>
          <w:tcPr>
            <w:tcW w:w="712" w:type="dxa"/>
            <w:vAlign w:val="center"/>
          </w:tcPr>
          <w:p>
            <w:pPr>
              <w:spacing w:line="300" w:lineRule="exact"/>
              <w:jc w:val="right"/>
              <w:rPr>
                <w:rFonts w:ascii="????_GBK"/>
                <w:b/>
              </w:rPr>
            </w:pPr>
            <w:r>
              <w:rPr>
                <w:rFonts w:ascii="????_GBK"/>
                <w:b/>
              </w:rPr>
              <w:t>4.5</w:t>
            </w:r>
          </w:p>
        </w:tc>
        <w:tc>
          <w:tcPr>
            <w:tcW w:w="711" w:type="dxa"/>
            <w:vAlign w:val="center"/>
          </w:tcPr>
          <w:p>
            <w:pPr>
              <w:spacing w:line="300" w:lineRule="exact"/>
              <w:jc w:val="right"/>
              <w:rPr>
                <w:rFonts w:ascii="????_GBK"/>
                <w:b/>
              </w:rPr>
            </w:pPr>
            <w:r>
              <w:rPr>
                <w:rFonts w:ascii="????_GBK"/>
                <w:b/>
              </w:rPr>
              <w:t>4.5</w:t>
            </w:r>
          </w:p>
        </w:tc>
        <w:tc>
          <w:tcPr>
            <w:tcW w:w="711" w:type="dxa"/>
            <w:vAlign w:val="center"/>
          </w:tcPr>
          <w:p>
            <w:pPr>
              <w:spacing w:line="300" w:lineRule="exact"/>
              <w:jc w:val="right"/>
              <w:rPr>
                <w:rFonts w:ascii="????_GBK"/>
                <w:b/>
              </w:rPr>
            </w:pPr>
            <w:r>
              <w:rPr>
                <w:rFonts w:ascii="????_GBK"/>
                <w:b/>
              </w:rPr>
              <w:t>4.5</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3"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1.5</w:t>
            </w:r>
          </w:p>
        </w:tc>
        <w:tc>
          <w:tcPr>
            <w:tcW w:w="1575" w:type="dxa"/>
            <w:vAlign w:val="center"/>
          </w:tcPr>
          <w:p>
            <w:pPr>
              <w:spacing w:line="300" w:lineRule="exact"/>
              <w:jc w:val="left"/>
              <w:rPr>
                <w:rFonts w:ascii="????_GBK"/>
                <w:b/>
              </w:rPr>
            </w:pPr>
            <w:r>
              <w:rPr>
                <w:rFonts w:hint="eastAsia" w:ascii="????_GBK"/>
                <w:b/>
              </w:rPr>
              <w:t>打印机设备</w:t>
            </w:r>
          </w:p>
        </w:tc>
        <w:tc>
          <w:tcPr>
            <w:tcW w:w="825" w:type="dxa"/>
            <w:vAlign w:val="center"/>
          </w:tcPr>
          <w:p>
            <w:pPr>
              <w:spacing w:line="300" w:lineRule="exact"/>
              <w:jc w:val="left"/>
              <w:rPr>
                <w:rFonts w:ascii="????_GBK"/>
                <w:b/>
              </w:rPr>
            </w:pPr>
            <w:r>
              <w:rPr>
                <w:rFonts w:ascii="????_GBK"/>
                <w:b/>
              </w:rPr>
              <w:t>A020102</w:t>
            </w:r>
          </w:p>
        </w:tc>
        <w:tc>
          <w:tcPr>
            <w:tcW w:w="407" w:type="dxa"/>
            <w:vAlign w:val="center"/>
          </w:tcPr>
          <w:p>
            <w:pPr>
              <w:spacing w:line="300" w:lineRule="exact"/>
              <w:jc w:val="left"/>
              <w:rPr>
                <w:rFonts w:ascii="????_GBK"/>
                <w:b/>
              </w:rPr>
            </w:pPr>
            <w:r>
              <w:rPr>
                <w:rFonts w:hint="eastAsia" w:ascii="????_GBK"/>
                <w:b/>
              </w:rPr>
              <w:t>台</w:t>
            </w:r>
          </w:p>
        </w:tc>
        <w:tc>
          <w:tcPr>
            <w:tcW w:w="661" w:type="dxa"/>
            <w:vAlign w:val="center"/>
          </w:tcPr>
          <w:p>
            <w:pPr>
              <w:spacing w:line="300" w:lineRule="exact"/>
              <w:jc w:val="right"/>
              <w:rPr>
                <w:rFonts w:ascii="????_GBK"/>
                <w:b/>
              </w:rPr>
            </w:pPr>
            <w:r>
              <w:rPr>
                <w:rFonts w:ascii="????_GBK"/>
                <w:b/>
              </w:rPr>
              <w:t>6</w:t>
            </w:r>
          </w:p>
        </w:tc>
        <w:tc>
          <w:tcPr>
            <w:tcW w:w="679" w:type="dxa"/>
            <w:vAlign w:val="center"/>
          </w:tcPr>
          <w:p>
            <w:pPr>
              <w:spacing w:line="300" w:lineRule="exact"/>
              <w:jc w:val="right"/>
              <w:rPr>
                <w:rFonts w:ascii="????_GBK"/>
                <w:b/>
              </w:rPr>
            </w:pPr>
            <w:r>
              <w:rPr>
                <w:rFonts w:ascii="????_GBK"/>
                <w:b/>
              </w:rPr>
              <w:t>0.25</w:t>
            </w:r>
          </w:p>
        </w:tc>
        <w:tc>
          <w:tcPr>
            <w:tcW w:w="712" w:type="dxa"/>
            <w:vAlign w:val="center"/>
          </w:tcPr>
          <w:p>
            <w:pPr>
              <w:spacing w:line="300" w:lineRule="exact"/>
              <w:jc w:val="right"/>
              <w:rPr>
                <w:rFonts w:ascii="????_GBK"/>
                <w:b/>
              </w:rPr>
            </w:pPr>
            <w:r>
              <w:rPr>
                <w:rFonts w:ascii="????_GBK"/>
                <w:b/>
              </w:rPr>
              <w:t>1.5</w:t>
            </w:r>
          </w:p>
        </w:tc>
        <w:tc>
          <w:tcPr>
            <w:tcW w:w="711" w:type="dxa"/>
            <w:vAlign w:val="center"/>
          </w:tcPr>
          <w:p>
            <w:pPr>
              <w:spacing w:line="300" w:lineRule="exact"/>
              <w:jc w:val="right"/>
              <w:rPr>
                <w:rFonts w:ascii="????_GBK"/>
                <w:b/>
              </w:rPr>
            </w:pPr>
            <w:r>
              <w:rPr>
                <w:rFonts w:ascii="????_GBK"/>
                <w:b/>
              </w:rPr>
              <w:t>1.5</w:t>
            </w:r>
          </w:p>
        </w:tc>
        <w:tc>
          <w:tcPr>
            <w:tcW w:w="711" w:type="dxa"/>
            <w:vAlign w:val="center"/>
          </w:tcPr>
          <w:p>
            <w:pPr>
              <w:spacing w:line="300" w:lineRule="exact"/>
              <w:jc w:val="right"/>
              <w:rPr>
                <w:rFonts w:ascii="????_GBK"/>
                <w:b/>
              </w:rPr>
            </w:pPr>
            <w:r>
              <w:rPr>
                <w:rFonts w:ascii="????_GBK"/>
                <w:b/>
              </w:rPr>
              <w:t>1.5</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733"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3</w:t>
            </w:r>
          </w:p>
        </w:tc>
        <w:tc>
          <w:tcPr>
            <w:tcW w:w="1575" w:type="dxa"/>
            <w:vAlign w:val="center"/>
          </w:tcPr>
          <w:p>
            <w:pPr>
              <w:spacing w:line="300" w:lineRule="exact"/>
              <w:jc w:val="left"/>
              <w:rPr>
                <w:rFonts w:ascii="????_GBK"/>
                <w:b/>
              </w:rPr>
            </w:pPr>
            <w:r>
              <w:rPr>
                <w:rFonts w:hint="eastAsia" w:ascii="????_GBK"/>
                <w:b/>
              </w:rPr>
              <w:t>办公家具</w:t>
            </w:r>
          </w:p>
        </w:tc>
        <w:tc>
          <w:tcPr>
            <w:tcW w:w="825" w:type="dxa"/>
            <w:vAlign w:val="center"/>
          </w:tcPr>
          <w:p>
            <w:pPr>
              <w:spacing w:line="300" w:lineRule="exact"/>
              <w:jc w:val="left"/>
              <w:rPr>
                <w:rFonts w:ascii="????_GBK"/>
                <w:b/>
              </w:rPr>
            </w:pPr>
            <w:r>
              <w:rPr>
                <w:rFonts w:ascii="????_GBK"/>
                <w:b/>
              </w:rPr>
              <w:t>A0602</w:t>
            </w:r>
          </w:p>
        </w:tc>
        <w:tc>
          <w:tcPr>
            <w:tcW w:w="407" w:type="dxa"/>
            <w:vAlign w:val="center"/>
          </w:tcPr>
          <w:p>
            <w:pPr>
              <w:spacing w:line="300" w:lineRule="exact"/>
              <w:jc w:val="left"/>
              <w:rPr>
                <w:rFonts w:ascii="????_GBK"/>
                <w:b/>
              </w:rPr>
            </w:pPr>
            <w:r>
              <w:rPr>
                <w:rFonts w:hint="eastAsia" w:ascii="????_GBK"/>
                <w:b/>
              </w:rPr>
              <w:t>套</w:t>
            </w:r>
          </w:p>
        </w:tc>
        <w:tc>
          <w:tcPr>
            <w:tcW w:w="661" w:type="dxa"/>
            <w:vAlign w:val="center"/>
          </w:tcPr>
          <w:p>
            <w:pPr>
              <w:spacing w:line="300" w:lineRule="exact"/>
              <w:jc w:val="right"/>
              <w:rPr>
                <w:rFonts w:ascii="????_GBK"/>
                <w:b/>
              </w:rPr>
            </w:pPr>
            <w:r>
              <w:rPr>
                <w:rFonts w:ascii="????_GBK"/>
                <w:b/>
              </w:rPr>
              <w:t>10</w:t>
            </w:r>
          </w:p>
        </w:tc>
        <w:tc>
          <w:tcPr>
            <w:tcW w:w="679" w:type="dxa"/>
            <w:vAlign w:val="center"/>
          </w:tcPr>
          <w:p>
            <w:pPr>
              <w:spacing w:line="300" w:lineRule="exact"/>
              <w:jc w:val="right"/>
              <w:rPr>
                <w:rFonts w:ascii="????_GBK"/>
                <w:b/>
              </w:rPr>
            </w:pPr>
            <w:r>
              <w:rPr>
                <w:rFonts w:ascii="????_GBK"/>
                <w:b/>
              </w:rPr>
              <w:t>0.3</w:t>
            </w:r>
          </w:p>
        </w:tc>
        <w:tc>
          <w:tcPr>
            <w:tcW w:w="712" w:type="dxa"/>
            <w:vAlign w:val="center"/>
          </w:tcPr>
          <w:p>
            <w:pPr>
              <w:spacing w:line="300" w:lineRule="exact"/>
              <w:jc w:val="right"/>
              <w:rPr>
                <w:rFonts w:ascii="????_GBK"/>
                <w:b/>
              </w:rPr>
            </w:pPr>
            <w:r>
              <w:rPr>
                <w:rFonts w:ascii="????_GBK"/>
                <w:b/>
              </w:rPr>
              <w:t>3</w:t>
            </w:r>
          </w:p>
        </w:tc>
        <w:tc>
          <w:tcPr>
            <w:tcW w:w="711" w:type="dxa"/>
            <w:vAlign w:val="center"/>
          </w:tcPr>
          <w:p>
            <w:pPr>
              <w:spacing w:line="300" w:lineRule="exact"/>
              <w:jc w:val="right"/>
              <w:rPr>
                <w:rFonts w:ascii="????_GBK"/>
                <w:b/>
              </w:rPr>
            </w:pPr>
            <w:r>
              <w:rPr>
                <w:rFonts w:ascii="????_GBK"/>
                <w:b/>
              </w:rPr>
              <w:t>3</w:t>
            </w:r>
          </w:p>
        </w:tc>
        <w:tc>
          <w:tcPr>
            <w:tcW w:w="711" w:type="dxa"/>
            <w:vAlign w:val="center"/>
          </w:tcPr>
          <w:p>
            <w:pPr>
              <w:spacing w:line="300" w:lineRule="exact"/>
              <w:jc w:val="right"/>
              <w:rPr>
                <w:rFonts w:ascii="????_GBK"/>
                <w:b/>
              </w:rPr>
            </w:pPr>
            <w:r>
              <w:rPr>
                <w:rFonts w:ascii="????_GBK"/>
                <w:b/>
              </w:rPr>
              <w:t>3</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3" w:hRule="atLeast"/>
        </w:trPr>
        <w:tc>
          <w:tcPr>
            <w:tcW w:w="1288" w:type="dxa"/>
            <w:vAlign w:val="center"/>
          </w:tcPr>
          <w:p>
            <w:pPr>
              <w:spacing w:line="300" w:lineRule="exact"/>
              <w:jc w:val="center"/>
              <w:rPr>
                <w:rFonts w:ascii="????_GBK"/>
                <w:b/>
              </w:rPr>
            </w:pPr>
            <w:r>
              <w:rPr>
                <w:rFonts w:hint="eastAsia" w:ascii="????_GBK"/>
                <w:b/>
              </w:rPr>
              <w:t>专项资金</w:t>
            </w:r>
          </w:p>
        </w:tc>
        <w:tc>
          <w:tcPr>
            <w:tcW w:w="885" w:type="dxa"/>
            <w:vAlign w:val="center"/>
          </w:tcPr>
          <w:p>
            <w:pPr>
              <w:spacing w:line="300" w:lineRule="exact"/>
              <w:jc w:val="right"/>
              <w:rPr>
                <w:rFonts w:ascii="????_GBK"/>
                <w:b/>
              </w:rPr>
            </w:pPr>
            <w:r>
              <w:rPr>
                <w:rFonts w:ascii="????_GBK"/>
                <w:b/>
              </w:rPr>
              <w:t>50</w:t>
            </w:r>
          </w:p>
        </w:tc>
        <w:tc>
          <w:tcPr>
            <w:tcW w:w="1575" w:type="dxa"/>
            <w:vAlign w:val="center"/>
          </w:tcPr>
          <w:p>
            <w:pPr>
              <w:spacing w:line="300" w:lineRule="exact"/>
              <w:jc w:val="left"/>
              <w:rPr>
                <w:rFonts w:ascii="????_GBK"/>
                <w:b/>
              </w:rPr>
            </w:pPr>
            <w:r>
              <w:rPr>
                <w:rFonts w:hint="eastAsia" w:ascii="????_GBK"/>
                <w:b/>
              </w:rPr>
              <w:t>审计费</w:t>
            </w:r>
          </w:p>
        </w:tc>
        <w:tc>
          <w:tcPr>
            <w:tcW w:w="825" w:type="dxa"/>
            <w:vAlign w:val="center"/>
          </w:tcPr>
          <w:p>
            <w:pPr>
              <w:spacing w:line="300" w:lineRule="exact"/>
              <w:jc w:val="left"/>
              <w:rPr>
                <w:rFonts w:ascii="????_GBK"/>
                <w:b/>
              </w:rPr>
            </w:pPr>
            <w:r>
              <w:rPr>
                <w:rFonts w:ascii="????_GBK"/>
                <w:b/>
              </w:rPr>
              <w:t>C0803</w:t>
            </w:r>
          </w:p>
        </w:tc>
        <w:tc>
          <w:tcPr>
            <w:tcW w:w="407" w:type="dxa"/>
            <w:vAlign w:val="center"/>
          </w:tcPr>
          <w:p>
            <w:pPr>
              <w:spacing w:line="300" w:lineRule="exact"/>
              <w:jc w:val="left"/>
              <w:rPr>
                <w:rFonts w:ascii="????_GBK"/>
                <w:b/>
              </w:rPr>
            </w:pPr>
            <w:r>
              <w:rPr>
                <w:rFonts w:hint="eastAsia" w:ascii="????_GBK"/>
                <w:b/>
              </w:rPr>
              <w:t>次</w:t>
            </w:r>
          </w:p>
        </w:tc>
        <w:tc>
          <w:tcPr>
            <w:tcW w:w="661" w:type="dxa"/>
            <w:vAlign w:val="center"/>
          </w:tcPr>
          <w:p>
            <w:pPr>
              <w:spacing w:line="300" w:lineRule="exact"/>
              <w:jc w:val="right"/>
              <w:rPr>
                <w:rFonts w:ascii="????_GBK"/>
                <w:b/>
              </w:rPr>
            </w:pPr>
            <w:r>
              <w:rPr>
                <w:rFonts w:ascii="????_GBK"/>
                <w:b/>
              </w:rPr>
              <w:t>50</w:t>
            </w:r>
          </w:p>
        </w:tc>
        <w:tc>
          <w:tcPr>
            <w:tcW w:w="679" w:type="dxa"/>
            <w:vAlign w:val="center"/>
          </w:tcPr>
          <w:p>
            <w:pPr>
              <w:spacing w:line="300" w:lineRule="exact"/>
              <w:jc w:val="right"/>
              <w:rPr>
                <w:rFonts w:ascii="????_GBK"/>
                <w:b/>
              </w:rPr>
            </w:pPr>
            <w:r>
              <w:rPr>
                <w:rFonts w:ascii="????_GBK"/>
                <w:b/>
              </w:rPr>
              <w:t>50</w:t>
            </w:r>
          </w:p>
        </w:tc>
        <w:tc>
          <w:tcPr>
            <w:tcW w:w="712" w:type="dxa"/>
            <w:vAlign w:val="center"/>
          </w:tcPr>
          <w:p>
            <w:pPr>
              <w:spacing w:line="300" w:lineRule="exact"/>
              <w:jc w:val="right"/>
              <w:rPr>
                <w:rFonts w:ascii="????_GBK"/>
                <w:b/>
              </w:rPr>
            </w:pPr>
            <w:r>
              <w:rPr>
                <w:rFonts w:ascii="????_GBK"/>
                <w:b/>
              </w:rPr>
              <w:t>50</w:t>
            </w:r>
          </w:p>
        </w:tc>
        <w:tc>
          <w:tcPr>
            <w:tcW w:w="711" w:type="dxa"/>
            <w:vAlign w:val="center"/>
          </w:tcPr>
          <w:p>
            <w:pPr>
              <w:spacing w:line="300" w:lineRule="exact"/>
              <w:jc w:val="right"/>
              <w:rPr>
                <w:rFonts w:ascii="????_GBK"/>
                <w:b/>
              </w:rPr>
            </w:pPr>
            <w:r>
              <w:rPr>
                <w:rFonts w:ascii="????_GBK"/>
                <w:b/>
              </w:rPr>
              <w:t>50</w:t>
            </w:r>
          </w:p>
        </w:tc>
        <w:tc>
          <w:tcPr>
            <w:tcW w:w="711" w:type="dxa"/>
            <w:vAlign w:val="center"/>
          </w:tcPr>
          <w:p>
            <w:pPr>
              <w:spacing w:line="300" w:lineRule="exact"/>
              <w:jc w:val="right"/>
              <w:rPr>
                <w:rFonts w:ascii="????_GBK"/>
                <w:b/>
              </w:rPr>
            </w:pPr>
            <w:r>
              <w:rPr>
                <w:rFonts w:ascii="????_GBK"/>
                <w:b/>
              </w:rPr>
              <w:t>50</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3"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6</w:t>
            </w:r>
          </w:p>
        </w:tc>
        <w:tc>
          <w:tcPr>
            <w:tcW w:w="1575" w:type="dxa"/>
            <w:vAlign w:val="center"/>
          </w:tcPr>
          <w:p>
            <w:pPr>
              <w:spacing w:line="300" w:lineRule="exact"/>
              <w:jc w:val="left"/>
              <w:rPr>
                <w:rFonts w:ascii="????_GBK"/>
                <w:b/>
              </w:rPr>
            </w:pPr>
            <w:r>
              <w:rPr>
                <w:rFonts w:hint="eastAsia" w:ascii="????_GBK"/>
                <w:b/>
              </w:rPr>
              <w:t>车辆加油</w:t>
            </w:r>
          </w:p>
        </w:tc>
        <w:tc>
          <w:tcPr>
            <w:tcW w:w="825" w:type="dxa"/>
            <w:vAlign w:val="center"/>
          </w:tcPr>
          <w:p>
            <w:pPr>
              <w:spacing w:line="300" w:lineRule="exact"/>
              <w:jc w:val="left"/>
              <w:rPr>
                <w:rFonts w:ascii="????_GBK"/>
                <w:b/>
              </w:rPr>
            </w:pPr>
            <w:r>
              <w:rPr>
                <w:rFonts w:ascii="????_GBK"/>
                <w:b/>
              </w:rPr>
              <w:t>C050302</w:t>
            </w:r>
          </w:p>
        </w:tc>
        <w:tc>
          <w:tcPr>
            <w:tcW w:w="407" w:type="dxa"/>
            <w:vAlign w:val="center"/>
          </w:tcPr>
          <w:p>
            <w:pPr>
              <w:spacing w:line="300" w:lineRule="exact"/>
              <w:jc w:val="left"/>
              <w:rPr>
                <w:rFonts w:ascii="????_GBK"/>
                <w:b/>
              </w:rPr>
            </w:pPr>
            <w:r>
              <w:rPr>
                <w:rFonts w:hint="eastAsia" w:ascii="????_GBK"/>
                <w:b/>
              </w:rPr>
              <w:t>批</w:t>
            </w:r>
          </w:p>
        </w:tc>
        <w:tc>
          <w:tcPr>
            <w:tcW w:w="661" w:type="dxa"/>
            <w:vAlign w:val="center"/>
          </w:tcPr>
          <w:p>
            <w:pPr>
              <w:spacing w:line="300" w:lineRule="exact"/>
              <w:jc w:val="right"/>
              <w:rPr>
                <w:rFonts w:ascii="????_GBK"/>
                <w:b/>
              </w:rPr>
            </w:pPr>
            <w:r>
              <w:rPr>
                <w:rFonts w:ascii="????_GBK"/>
                <w:b/>
              </w:rPr>
              <w:t>6</w:t>
            </w:r>
          </w:p>
        </w:tc>
        <w:tc>
          <w:tcPr>
            <w:tcW w:w="679" w:type="dxa"/>
            <w:vAlign w:val="center"/>
          </w:tcPr>
          <w:p>
            <w:pPr>
              <w:spacing w:line="300" w:lineRule="exact"/>
              <w:jc w:val="right"/>
              <w:rPr>
                <w:rFonts w:ascii="????_GBK"/>
                <w:b/>
              </w:rPr>
            </w:pPr>
            <w:r>
              <w:rPr>
                <w:rFonts w:ascii="????_GBK"/>
                <w:b/>
              </w:rPr>
              <w:t>1</w:t>
            </w:r>
          </w:p>
        </w:tc>
        <w:tc>
          <w:tcPr>
            <w:tcW w:w="712" w:type="dxa"/>
            <w:vAlign w:val="center"/>
          </w:tcPr>
          <w:p>
            <w:pPr>
              <w:spacing w:line="300" w:lineRule="exact"/>
              <w:jc w:val="center"/>
              <w:rPr>
                <w:rFonts w:ascii="????_GBK"/>
                <w:b/>
              </w:rPr>
            </w:pPr>
            <w:r>
              <w:rPr>
                <w:rFonts w:ascii="????_GBK"/>
                <w:b/>
              </w:rPr>
              <w:t>6</w:t>
            </w:r>
          </w:p>
        </w:tc>
        <w:tc>
          <w:tcPr>
            <w:tcW w:w="711" w:type="dxa"/>
            <w:vAlign w:val="center"/>
          </w:tcPr>
          <w:p>
            <w:pPr>
              <w:spacing w:line="300" w:lineRule="exact"/>
              <w:jc w:val="right"/>
              <w:rPr>
                <w:rFonts w:ascii="????_GBK"/>
                <w:b/>
              </w:rPr>
            </w:pPr>
            <w:r>
              <w:rPr>
                <w:rFonts w:ascii="????_GBK"/>
                <w:b/>
              </w:rPr>
              <w:t>6</w:t>
            </w:r>
          </w:p>
        </w:tc>
        <w:tc>
          <w:tcPr>
            <w:tcW w:w="711" w:type="dxa"/>
            <w:vAlign w:val="center"/>
          </w:tcPr>
          <w:p>
            <w:pPr>
              <w:spacing w:line="300" w:lineRule="exact"/>
              <w:jc w:val="right"/>
              <w:rPr>
                <w:rFonts w:ascii="????_GBK"/>
                <w:b/>
              </w:rPr>
            </w:pPr>
            <w:r>
              <w:rPr>
                <w:rFonts w:ascii="????_GBK"/>
                <w:b/>
              </w:rPr>
              <w:t>6</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33" w:hRule="atLeast"/>
        </w:trPr>
        <w:tc>
          <w:tcPr>
            <w:tcW w:w="1288" w:type="dxa"/>
            <w:vAlign w:val="center"/>
          </w:tcPr>
          <w:p>
            <w:pPr>
              <w:spacing w:line="300" w:lineRule="exact"/>
              <w:jc w:val="center"/>
              <w:rPr>
                <w:rFonts w:ascii="????_GBK" w:eastAsia="Times New Roman"/>
                <w:b/>
              </w:rPr>
            </w:pPr>
            <w:r>
              <w:rPr>
                <w:rFonts w:hint="eastAsia" w:ascii="????_GBK"/>
                <w:b/>
              </w:rPr>
              <w:t>专项资金</w:t>
            </w:r>
          </w:p>
        </w:tc>
        <w:tc>
          <w:tcPr>
            <w:tcW w:w="885" w:type="dxa"/>
            <w:vAlign w:val="center"/>
          </w:tcPr>
          <w:p>
            <w:pPr>
              <w:spacing w:line="300" w:lineRule="exact"/>
              <w:jc w:val="right"/>
              <w:rPr>
                <w:rFonts w:ascii="????_GBK"/>
                <w:b/>
              </w:rPr>
            </w:pPr>
            <w:r>
              <w:rPr>
                <w:rFonts w:ascii="????_GBK"/>
                <w:b/>
              </w:rPr>
              <w:t>8</w:t>
            </w:r>
          </w:p>
        </w:tc>
        <w:tc>
          <w:tcPr>
            <w:tcW w:w="1575" w:type="dxa"/>
            <w:vAlign w:val="center"/>
          </w:tcPr>
          <w:p>
            <w:pPr>
              <w:spacing w:line="300" w:lineRule="exact"/>
              <w:jc w:val="left"/>
              <w:rPr>
                <w:rFonts w:ascii="????_GBK"/>
                <w:b/>
              </w:rPr>
            </w:pPr>
            <w:r>
              <w:rPr>
                <w:rFonts w:hint="eastAsia" w:ascii="????_GBK"/>
                <w:b/>
              </w:rPr>
              <w:t>会议培训服务</w:t>
            </w:r>
          </w:p>
        </w:tc>
        <w:tc>
          <w:tcPr>
            <w:tcW w:w="825" w:type="dxa"/>
            <w:vAlign w:val="center"/>
          </w:tcPr>
          <w:p>
            <w:pPr>
              <w:spacing w:line="300" w:lineRule="exact"/>
              <w:jc w:val="left"/>
              <w:rPr>
                <w:rFonts w:ascii="????_GBK"/>
                <w:b/>
              </w:rPr>
            </w:pPr>
            <w:r>
              <w:rPr>
                <w:rFonts w:ascii="????_GBK"/>
                <w:b/>
              </w:rPr>
              <w:t>C0601</w:t>
            </w:r>
          </w:p>
        </w:tc>
        <w:tc>
          <w:tcPr>
            <w:tcW w:w="407" w:type="dxa"/>
            <w:vAlign w:val="center"/>
          </w:tcPr>
          <w:p>
            <w:pPr>
              <w:spacing w:line="300" w:lineRule="exact"/>
              <w:jc w:val="left"/>
              <w:rPr>
                <w:rFonts w:ascii="????_GBK"/>
                <w:b/>
              </w:rPr>
            </w:pPr>
            <w:r>
              <w:rPr>
                <w:rFonts w:hint="eastAsia" w:ascii="????_GBK"/>
                <w:b/>
              </w:rPr>
              <w:t>次</w:t>
            </w:r>
          </w:p>
        </w:tc>
        <w:tc>
          <w:tcPr>
            <w:tcW w:w="661" w:type="dxa"/>
            <w:vAlign w:val="center"/>
          </w:tcPr>
          <w:p>
            <w:pPr>
              <w:spacing w:line="300" w:lineRule="exact"/>
              <w:jc w:val="right"/>
              <w:rPr>
                <w:rFonts w:ascii="????_GBK"/>
                <w:b/>
              </w:rPr>
            </w:pPr>
            <w:r>
              <w:rPr>
                <w:rFonts w:ascii="????_GBK"/>
                <w:b/>
              </w:rPr>
              <w:t>2</w:t>
            </w:r>
          </w:p>
        </w:tc>
        <w:tc>
          <w:tcPr>
            <w:tcW w:w="679" w:type="dxa"/>
            <w:vAlign w:val="center"/>
          </w:tcPr>
          <w:p>
            <w:pPr>
              <w:spacing w:line="300" w:lineRule="exact"/>
              <w:jc w:val="right"/>
              <w:rPr>
                <w:rFonts w:ascii="????_GBK"/>
                <w:b/>
              </w:rPr>
            </w:pPr>
            <w:r>
              <w:rPr>
                <w:rFonts w:ascii="????_GBK"/>
                <w:b/>
              </w:rPr>
              <w:t>4</w:t>
            </w:r>
          </w:p>
        </w:tc>
        <w:tc>
          <w:tcPr>
            <w:tcW w:w="712" w:type="dxa"/>
            <w:vAlign w:val="center"/>
          </w:tcPr>
          <w:p>
            <w:pPr>
              <w:spacing w:line="300" w:lineRule="exact"/>
              <w:jc w:val="center"/>
              <w:rPr>
                <w:rFonts w:ascii="????_GBK"/>
                <w:b/>
              </w:rPr>
            </w:pPr>
            <w:r>
              <w:rPr>
                <w:rFonts w:ascii="????_GBK"/>
                <w:b/>
              </w:rPr>
              <w:t>8</w:t>
            </w:r>
          </w:p>
        </w:tc>
        <w:tc>
          <w:tcPr>
            <w:tcW w:w="711" w:type="dxa"/>
            <w:vAlign w:val="center"/>
          </w:tcPr>
          <w:p>
            <w:pPr>
              <w:spacing w:line="300" w:lineRule="exact"/>
              <w:jc w:val="right"/>
              <w:rPr>
                <w:rFonts w:ascii="????_GBK"/>
                <w:b/>
              </w:rPr>
            </w:pPr>
            <w:r>
              <w:rPr>
                <w:rFonts w:ascii="????_GBK"/>
                <w:b/>
              </w:rPr>
              <w:t>8</w:t>
            </w:r>
          </w:p>
        </w:tc>
        <w:tc>
          <w:tcPr>
            <w:tcW w:w="711" w:type="dxa"/>
            <w:vAlign w:val="center"/>
          </w:tcPr>
          <w:p>
            <w:pPr>
              <w:spacing w:line="300" w:lineRule="exact"/>
              <w:jc w:val="right"/>
              <w:rPr>
                <w:rFonts w:ascii="????_GBK"/>
                <w:b/>
              </w:rPr>
            </w:pPr>
            <w:r>
              <w:rPr>
                <w:rFonts w:ascii="????_GBK"/>
                <w:b/>
              </w:rPr>
              <w:t>8</w:t>
            </w:r>
          </w:p>
        </w:tc>
        <w:tc>
          <w:tcPr>
            <w:tcW w:w="660"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62" w:type="dxa"/>
            <w:vAlign w:val="center"/>
          </w:tcPr>
          <w:p>
            <w:pPr>
              <w:spacing w:line="300" w:lineRule="exact"/>
              <w:jc w:val="right"/>
              <w:rPr>
                <w:rFonts w:ascii="????_GBK" w:eastAsia="Times New Roman"/>
                <w:b/>
              </w:rPr>
            </w:pPr>
          </w:p>
        </w:tc>
        <w:tc>
          <w:tcPr>
            <w:tcW w:w="622" w:type="dxa"/>
            <w:vAlign w:val="center"/>
          </w:tcPr>
          <w:p>
            <w:pPr>
              <w:spacing w:line="300" w:lineRule="exact"/>
              <w:jc w:val="right"/>
              <w:rPr>
                <w:rFonts w:ascii="????_GBK" w:eastAsia="Times New Roman"/>
                <w:b/>
              </w:rPr>
            </w:pPr>
          </w:p>
        </w:tc>
      </w:tr>
    </w:tbl>
    <w:p>
      <w:pPr>
        <w:spacing w:line="600" w:lineRule="exact"/>
        <w:ind w:left="420" w:leftChars="200"/>
        <w:rPr>
          <w:rFonts w:ascii="仿宋" w:hAnsi="仿宋" w:eastAsia="仿宋"/>
          <w:sz w:val="32"/>
          <w:szCs w:val="32"/>
        </w:rPr>
      </w:pPr>
    </w:p>
    <w:p>
      <w:pPr>
        <w:spacing w:line="600" w:lineRule="exact"/>
        <w:ind w:left="420" w:leftChars="200"/>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第七部分：国有资产信息情况说明</w:t>
      </w:r>
    </w:p>
    <w:p>
      <w:pPr>
        <w:jc w:val="left"/>
        <w:rPr>
          <w:rFonts w:ascii="仿宋" w:hAnsi="仿宋" w:eastAsia="仿宋"/>
          <w:sz w:val="32"/>
          <w:szCs w:val="32"/>
          <w:highlight w:val="yellow"/>
        </w:rPr>
      </w:pPr>
      <w:r>
        <w:rPr>
          <w:rFonts w:hint="eastAsia" w:ascii="仿宋" w:hAnsi="仿宋" w:eastAsia="仿宋" w:cs="宋体"/>
          <w:sz w:val="30"/>
          <w:szCs w:val="30"/>
        </w:rPr>
        <w:t>我单位</w:t>
      </w:r>
      <w:r>
        <w:rPr>
          <w:rFonts w:ascii="仿宋" w:hAnsi="仿宋" w:eastAsia="仿宋" w:cs="宋体"/>
          <w:sz w:val="30"/>
          <w:szCs w:val="30"/>
        </w:rPr>
        <w:t>2016</w:t>
      </w:r>
      <w:r>
        <w:rPr>
          <w:rFonts w:hint="eastAsia" w:ascii="仿宋" w:hAnsi="仿宋" w:eastAsia="仿宋" w:cs="宋体"/>
          <w:sz w:val="30"/>
          <w:szCs w:val="30"/>
        </w:rPr>
        <w:t>年末固定资产总额</w:t>
      </w:r>
      <w:r>
        <w:rPr>
          <w:rFonts w:ascii="仿宋" w:hAnsi="仿宋" w:eastAsia="仿宋" w:cs="宋体"/>
          <w:sz w:val="30"/>
          <w:szCs w:val="30"/>
        </w:rPr>
        <w:t>222.6465</w:t>
      </w:r>
      <w:r>
        <w:rPr>
          <w:rFonts w:hint="eastAsia" w:ascii="仿宋" w:hAnsi="仿宋" w:eastAsia="仿宋" w:cs="宋体"/>
          <w:sz w:val="30"/>
          <w:szCs w:val="30"/>
        </w:rPr>
        <w:t>万元。</w:t>
      </w:r>
      <w:r>
        <w:rPr>
          <w:rFonts w:ascii="仿宋" w:hAnsi="仿宋" w:eastAsia="仿宋"/>
          <w:sz w:val="32"/>
          <w:szCs w:val="32"/>
        </w:rPr>
        <w:t>2017</w:t>
      </w:r>
      <w:r>
        <w:rPr>
          <w:rFonts w:hint="eastAsia" w:ascii="仿宋" w:hAnsi="仿宋" w:eastAsia="仿宋"/>
          <w:sz w:val="32"/>
          <w:szCs w:val="32"/>
        </w:rPr>
        <w:t>年拟购置固定资产</w:t>
      </w:r>
      <w:r>
        <w:rPr>
          <w:rFonts w:ascii="仿宋" w:hAnsi="仿宋" w:eastAsia="仿宋"/>
          <w:sz w:val="32"/>
          <w:szCs w:val="32"/>
        </w:rPr>
        <w:t>80</w:t>
      </w:r>
      <w:r>
        <w:rPr>
          <w:rFonts w:hint="eastAsia" w:ascii="仿宋" w:hAnsi="仿宋" w:eastAsia="仿宋"/>
          <w:sz w:val="32"/>
          <w:szCs w:val="32"/>
        </w:rPr>
        <w:t>万元，主要为信息网络及软件购置更新、计算机、打印机、以及其他部分办公设备，已列入政府采购预算，详见政府采购预算表。</w:t>
      </w:r>
    </w:p>
    <w:p>
      <w:pPr>
        <w:spacing w:line="520" w:lineRule="exact"/>
        <w:ind w:firstLine="640" w:firstLineChars="200"/>
        <w:rPr>
          <w:rFonts w:ascii="仿宋" w:hAnsi="仿宋" w:eastAsia="仿宋"/>
          <w:sz w:val="32"/>
          <w:szCs w:val="32"/>
        </w:rPr>
      </w:pPr>
      <w:r>
        <w:rPr>
          <w:rFonts w:ascii="仿宋" w:hAnsi="仿宋" w:eastAsia="仿宋"/>
          <w:sz w:val="32"/>
          <w:szCs w:val="32"/>
        </w:rPr>
        <w:t>2016</w:t>
      </w:r>
      <w:r>
        <w:rPr>
          <w:rFonts w:hint="eastAsia" w:ascii="仿宋" w:hAnsi="仿宋" w:eastAsia="仿宋"/>
          <w:sz w:val="32"/>
          <w:szCs w:val="32"/>
        </w:rPr>
        <w:t>年国有资产占有情况见下表：</w:t>
      </w:r>
    </w:p>
    <w:tbl>
      <w:tblPr>
        <w:tblStyle w:val="6"/>
        <w:tblW w:w="8760" w:type="dxa"/>
        <w:tblInd w:w="93" w:type="dxa"/>
        <w:tblLayout w:type="fixed"/>
        <w:tblCellMar>
          <w:top w:w="0" w:type="dxa"/>
          <w:left w:w="108" w:type="dxa"/>
          <w:bottom w:w="0" w:type="dxa"/>
          <w:right w:w="108" w:type="dxa"/>
        </w:tblCellMar>
      </w:tblPr>
      <w:tblGrid>
        <w:gridCol w:w="3631"/>
        <w:gridCol w:w="549"/>
        <w:gridCol w:w="2080"/>
        <w:gridCol w:w="2500"/>
      </w:tblGrid>
      <w:tr>
        <w:tblPrEx>
          <w:tblLayout w:type="fixed"/>
          <w:tblCellMar>
            <w:top w:w="0" w:type="dxa"/>
            <w:left w:w="108" w:type="dxa"/>
            <w:bottom w:w="0" w:type="dxa"/>
            <w:right w:w="108" w:type="dxa"/>
          </w:tblCellMar>
        </w:tblPrEx>
        <w:trPr>
          <w:trHeight w:val="315" w:hRule="atLeast"/>
        </w:trPr>
        <w:tc>
          <w:tcPr>
            <w:tcW w:w="4180" w:type="dxa"/>
            <w:gridSpan w:val="2"/>
            <w:tcBorders>
              <w:top w:val="nil"/>
              <w:left w:val="nil"/>
              <w:bottom w:val="nil"/>
              <w:right w:val="nil"/>
            </w:tcBorders>
            <w:vAlign w:val="bottom"/>
          </w:tcPr>
          <w:p>
            <w:pPr>
              <w:widowControl/>
              <w:jc w:val="left"/>
              <w:rPr>
                <w:rFonts w:ascii="宋体" w:cs="Arial"/>
                <w:color w:val="000000"/>
                <w:kern w:val="0"/>
                <w:sz w:val="24"/>
              </w:rPr>
            </w:pPr>
            <w:r>
              <w:rPr>
                <w:rFonts w:hint="eastAsia" w:ascii="宋体" w:hAnsi="宋体" w:cs="Arial"/>
                <w:color w:val="000000"/>
                <w:kern w:val="0"/>
                <w:sz w:val="24"/>
              </w:rPr>
              <w:t>编制单位：保定白沟新城财政局</w:t>
            </w:r>
          </w:p>
        </w:tc>
        <w:tc>
          <w:tcPr>
            <w:tcW w:w="20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00" w:type="dxa"/>
            <w:tcBorders>
              <w:top w:val="nil"/>
              <w:left w:val="nil"/>
              <w:bottom w:val="nil"/>
              <w:right w:val="nil"/>
            </w:tcBorders>
            <w:vAlign w:val="bottom"/>
          </w:tcPr>
          <w:p>
            <w:pPr>
              <w:widowControl/>
              <w:jc w:val="center"/>
              <w:rPr>
                <w:rFonts w:ascii="宋体" w:cs="Arial"/>
                <w:color w:val="000000"/>
                <w:kern w:val="0"/>
                <w:sz w:val="24"/>
              </w:rPr>
            </w:pPr>
            <w:r>
              <w:rPr>
                <w:rFonts w:ascii="宋体" w:hAnsi="宋体" w:cs="Arial"/>
                <w:color w:val="000000"/>
                <w:kern w:val="0"/>
                <w:sz w:val="24"/>
              </w:rPr>
              <w:t>2016</w:t>
            </w:r>
            <w:r>
              <w:rPr>
                <w:rFonts w:hint="eastAsia" w:ascii="宋体" w:hAnsi="宋体" w:cs="Arial"/>
                <w:color w:val="000000"/>
                <w:kern w:val="0"/>
                <w:sz w:val="24"/>
              </w:rPr>
              <w:t>年度</w:t>
            </w:r>
          </w:p>
        </w:tc>
      </w:tr>
      <w:tr>
        <w:tblPrEx>
          <w:tblLayout w:type="fixed"/>
          <w:tblCellMar>
            <w:top w:w="0" w:type="dxa"/>
            <w:left w:w="108" w:type="dxa"/>
            <w:bottom w:w="0" w:type="dxa"/>
            <w:right w:w="108" w:type="dxa"/>
          </w:tblCellMar>
        </w:tblPrEx>
        <w:trPr>
          <w:trHeight w:val="270" w:hRule="atLeast"/>
        </w:trPr>
        <w:tc>
          <w:tcPr>
            <w:tcW w:w="3631" w:type="dxa"/>
            <w:vMerge w:val="restart"/>
            <w:tcBorders>
              <w:top w:val="single" w:color="000000" w:sz="8"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项　　目</w:t>
            </w:r>
          </w:p>
        </w:tc>
        <w:tc>
          <w:tcPr>
            <w:tcW w:w="549" w:type="dxa"/>
            <w:vMerge w:val="restart"/>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行次</w:t>
            </w:r>
          </w:p>
        </w:tc>
        <w:tc>
          <w:tcPr>
            <w:tcW w:w="2080" w:type="dxa"/>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数量</w:t>
            </w:r>
          </w:p>
        </w:tc>
        <w:tc>
          <w:tcPr>
            <w:tcW w:w="2500" w:type="dxa"/>
            <w:tcBorders>
              <w:top w:val="single" w:color="000000" w:sz="8" w:space="0"/>
              <w:left w:val="nil"/>
              <w:bottom w:val="single" w:color="000000" w:sz="4" w:space="0"/>
              <w:right w:val="nil"/>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价值</w:t>
            </w:r>
          </w:p>
        </w:tc>
      </w:tr>
      <w:tr>
        <w:tblPrEx>
          <w:tblLayout w:type="fixed"/>
          <w:tblCellMar>
            <w:top w:w="0" w:type="dxa"/>
            <w:left w:w="108" w:type="dxa"/>
            <w:bottom w:w="0" w:type="dxa"/>
            <w:right w:w="108" w:type="dxa"/>
          </w:tblCellMar>
        </w:tblPrEx>
        <w:trPr>
          <w:trHeight w:val="270" w:hRule="atLeast"/>
        </w:trPr>
        <w:tc>
          <w:tcPr>
            <w:tcW w:w="3631"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p>
        </w:tc>
        <w:tc>
          <w:tcPr>
            <w:tcW w:w="54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208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年末数</w:t>
            </w:r>
          </w:p>
        </w:tc>
        <w:tc>
          <w:tcPr>
            <w:tcW w:w="250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年末数</w:t>
            </w:r>
          </w:p>
        </w:tc>
      </w:tr>
      <w:tr>
        <w:tblPrEx>
          <w:tblLayout w:type="fixed"/>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栏　　次</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　</w:t>
            </w:r>
          </w:p>
        </w:tc>
        <w:tc>
          <w:tcPr>
            <w:tcW w:w="208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2</w:t>
            </w:r>
          </w:p>
        </w:tc>
        <w:tc>
          <w:tcPr>
            <w:tcW w:w="250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4</w:t>
            </w:r>
          </w:p>
        </w:tc>
      </w:tr>
      <w:tr>
        <w:tblPrEx>
          <w:tblLayout w:type="fixed"/>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二、固定资产</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3</w:t>
            </w:r>
          </w:p>
        </w:tc>
        <w:tc>
          <w:tcPr>
            <w:tcW w:w="208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cs="Arial"/>
                <w:color w:val="000000"/>
                <w:kern w:val="0"/>
                <w:sz w:val="22"/>
              </w:rPr>
              <w:t>276</w:t>
            </w:r>
          </w:p>
        </w:tc>
        <w:tc>
          <w:tcPr>
            <w:tcW w:w="250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cs="Arial"/>
                <w:color w:val="000000"/>
                <w:kern w:val="0"/>
                <w:sz w:val="22"/>
              </w:rPr>
              <w:t>2226465</w:t>
            </w:r>
          </w:p>
        </w:tc>
      </w:tr>
      <w:tr>
        <w:tblPrEx>
          <w:tblLayout w:type="fixed"/>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（一）房屋（平方米）</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4</w:t>
            </w:r>
          </w:p>
        </w:tc>
        <w:tc>
          <w:tcPr>
            <w:tcW w:w="2080"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w:t>
            </w:r>
          </w:p>
        </w:tc>
        <w:tc>
          <w:tcPr>
            <w:tcW w:w="2500"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tblPrEx>
          <w:tblLayout w:type="fixed"/>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ascii="宋体" w:hAnsi="宋体" w:cs="Arial"/>
                <w:color w:val="000000"/>
                <w:kern w:val="0"/>
                <w:sz w:val="22"/>
              </w:rPr>
              <w:t xml:space="preserve">        1.</w:t>
            </w:r>
            <w:r>
              <w:rPr>
                <w:rFonts w:hint="eastAsia" w:ascii="宋体" w:hAnsi="宋体" w:cs="Arial"/>
                <w:color w:val="000000"/>
                <w:kern w:val="0"/>
                <w:sz w:val="22"/>
              </w:rPr>
              <w:t>办公用房</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5</w:t>
            </w:r>
          </w:p>
        </w:tc>
        <w:tc>
          <w:tcPr>
            <w:tcW w:w="2080"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w:t>
            </w:r>
          </w:p>
        </w:tc>
        <w:tc>
          <w:tcPr>
            <w:tcW w:w="2500"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tblPrEx>
          <w:tblLayout w:type="fixed"/>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　　</w:t>
            </w:r>
            <w:r>
              <w:rPr>
                <w:rFonts w:ascii="宋体" w:hAnsi="宋体" w:cs="Arial"/>
                <w:color w:val="000000"/>
                <w:kern w:val="0"/>
                <w:sz w:val="22"/>
              </w:rPr>
              <w:t xml:space="preserve">    2.</w:t>
            </w:r>
            <w:r>
              <w:rPr>
                <w:rFonts w:hint="eastAsia" w:ascii="宋体" w:hAnsi="宋体" w:cs="Arial"/>
                <w:color w:val="000000"/>
                <w:kern w:val="0"/>
                <w:sz w:val="22"/>
              </w:rPr>
              <w:t>业务用房</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6</w:t>
            </w:r>
          </w:p>
        </w:tc>
        <w:tc>
          <w:tcPr>
            <w:tcW w:w="2080"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w:t>
            </w:r>
          </w:p>
        </w:tc>
        <w:tc>
          <w:tcPr>
            <w:tcW w:w="2500"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tblPrEx>
          <w:tblLayout w:type="fixed"/>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　　</w:t>
            </w:r>
            <w:r>
              <w:rPr>
                <w:rFonts w:ascii="宋体" w:hAnsi="宋体" w:cs="Arial"/>
                <w:color w:val="000000"/>
                <w:kern w:val="0"/>
                <w:sz w:val="22"/>
              </w:rPr>
              <w:t xml:space="preserve">   3.</w:t>
            </w:r>
            <w:r>
              <w:rPr>
                <w:rFonts w:hint="eastAsia" w:ascii="宋体" w:hAnsi="宋体" w:cs="Arial"/>
                <w:color w:val="000000"/>
                <w:kern w:val="0"/>
                <w:sz w:val="22"/>
              </w:rPr>
              <w:t>其他（不含构筑物）</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7</w:t>
            </w:r>
          </w:p>
        </w:tc>
        <w:tc>
          <w:tcPr>
            <w:tcW w:w="2080"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w:t>
            </w:r>
          </w:p>
        </w:tc>
        <w:tc>
          <w:tcPr>
            <w:tcW w:w="2500"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tblPrEx>
          <w:tblLayout w:type="fixed"/>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（二）车辆（台、辆）</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8</w:t>
            </w:r>
          </w:p>
        </w:tc>
        <w:tc>
          <w:tcPr>
            <w:tcW w:w="2080"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w:t>
            </w:r>
          </w:p>
        </w:tc>
        <w:tc>
          <w:tcPr>
            <w:tcW w:w="2500"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tblPrEx>
          <w:tblLayout w:type="fixed"/>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ascii="宋体" w:hAnsi="宋体" w:cs="Arial"/>
                <w:color w:val="000000"/>
                <w:kern w:val="0"/>
                <w:sz w:val="22"/>
              </w:rPr>
              <w:t xml:space="preserve">        1.</w:t>
            </w:r>
            <w:r>
              <w:rPr>
                <w:rFonts w:hint="eastAsia" w:ascii="宋体" w:hAnsi="宋体" w:cs="Arial"/>
                <w:color w:val="000000"/>
                <w:kern w:val="0"/>
                <w:sz w:val="22"/>
              </w:rPr>
              <w:t>轿车</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9</w:t>
            </w:r>
          </w:p>
        </w:tc>
        <w:tc>
          <w:tcPr>
            <w:tcW w:w="208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cs="Arial"/>
                <w:color w:val="000000"/>
                <w:kern w:val="0"/>
                <w:sz w:val="22"/>
              </w:rPr>
              <w:t>5</w:t>
            </w:r>
            <w:r>
              <w:rPr>
                <w:rFonts w:hint="eastAsia" w:ascii="宋体" w:cs="Arial"/>
                <w:color w:val="000000"/>
                <w:kern w:val="0"/>
                <w:sz w:val="22"/>
              </w:rPr>
              <w:t>（其中</w:t>
            </w:r>
            <w:r>
              <w:rPr>
                <w:rFonts w:ascii="宋体" w:cs="Arial"/>
                <w:color w:val="000000"/>
                <w:kern w:val="0"/>
                <w:sz w:val="22"/>
              </w:rPr>
              <w:t>3</w:t>
            </w:r>
            <w:r>
              <w:rPr>
                <w:rFonts w:hint="eastAsia" w:ascii="宋体" w:cs="Arial"/>
                <w:color w:val="000000"/>
                <w:kern w:val="0"/>
                <w:sz w:val="22"/>
              </w:rPr>
              <w:t>辆以拍卖，</w:t>
            </w:r>
            <w:r>
              <w:rPr>
                <w:rFonts w:ascii="宋体" w:cs="Arial"/>
                <w:color w:val="000000"/>
                <w:kern w:val="0"/>
                <w:sz w:val="22"/>
              </w:rPr>
              <w:t>1</w:t>
            </w:r>
            <w:r>
              <w:rPr>
                <w:rFonts w:hint="eastAsia" w:ascii="宋体" w:cs="Arial"/>
                <w:color w:val="000000"/>
                <w:kern w:val="0"/>
                <w:sz w:val="22"/>
              </w:rPr>
              <w:t>辆调剂到规划建设局使用）</w:t>
            </w:r>
            <w:bookmarkStart w:id="1" w:name="_GoBack"/>
            <w:bookmarkEnd w:id="1"/>
          </w:p>
        </w:tc>
        <w:tc>
          <w:tcPr>
            <w:tcW w:w="250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cs="Arial"/>
                <w:color w:val="000000"/>
                <w:kern w:val="0"/>
                <w:sz w:val="22"/>
              </w:rPr>
              <w:t>530841</w:t>
            </w:r>
            <w:r>
              <w:rPr>
                <w:rFonts w:hint="eastAsia" w:ascii="宋体" w:cs="Arial"/>
                <w:color w:val="000000"/>
                <w:kern w:val="0"/>
                <w:sz w:val="22"/>
              </w:rPr>
              <w:t>（其中</w:t>
            </w:r>
            <w:r>
              <w:rPr>
                <w:rFonts w:ascii="宋体" w:cs="Arial"/>
                <w:color w:val="000000"/>
                <w:kern w:val="0"/>
                <w:sz w:val="22"/>
              </w:rPr>
              <w:t>405144</w:t>
            </w:r>
            <w:r>
              <w:rPr>
                <w:rFonts w:hint="eastAsia" w:ascii="宋体" w:cs="Arial"/>
                <w:color w:val="000000"/>
                <w:kern w:val="0"/>
                <w:sz w:val="22"/>
              </w:rPr>
              <w:t>元代销帐）</w:t>
            </w:r>
          </w:p>
        </w:tc>
      </w:tr>
      <w:tr>
        <w:tblPrEx>
          <w:tblLayout w:type="fixed"/>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ascii="宋体" w:hAnsi="宋体" w:cs="Arial"/>
                <w:color w:val="000000"/>
                <w:kern w:val="0"/>
                <w:sz w:val="22"/>
              </w:rPr>
              <w:t xml:space="preserve">        2.</w:t>
            </w:r>
            <w:r>
              <w:rPr>
                <w:rFonts w:hint="eastAsia" w:ascii="宋体" w:hAnsi="宋体" w:cs="Arial"/>
                <w:color w:val="000000"/>
                <w:kern w:val="0"/>
                <w:sz w:val="22"/>
              </w:rPr>
              <w:t>越野车</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10</w:t>
            </w:r>
          </w:p>
        </w:tc>
        <w:tc>
          <w:tcPr>
            <w:tcW w:w="2080"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w:t>
            </w:r>
          </w:p>
        </w:tc>
        <w:tc>
          <w:tcPr>
            <w:tcW w:w="2500"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tblPrEx>
          <w:tblLayout w:type="fixed"/>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hint="eastAsia" w:ascii="宋体" w:hAnsi="宋体" w:cs="Arial"/>
                <w:color w:val="000000"/>
                <w:kern w:val="0"/>
                <w:sz w:val="22"/>
              </w:rPr>
            </w:pPr>
            <w:r>
              <w:rPr>
                <w:rFonts w:hint="eastAsia" w:ascii="宋体" w:hAnsi="宋体" w:cs="宋体"/>
                <w:color w:val="000000"/>
                <w:kern w:val="0"/>
                <w:sz w:val="24"/>
                <w:szCs w:val="24"/>
                <w:lang w:eastAsia="zh-CN"/>
              </w:rPr>
              <w:t>（三）</w:t>
            </w:r>
            <w:r>
              <w:rPr>
                <w:rFonts w:hint="eastAsia" w:ascii="宋体" w:hAnsi="宋体" w:cs="宋体"/>
                <w:color w:val="000000"/>
                <w:kern w:val="0"/>
                <w:sz w:val="24"/>
                <w:szCs w:val="24"/>
              </w:rPr>
              <w:t>单价在20万元以上的设备</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p>
        </w:tc>
        <w:tc>
          <w:tcPr>
            <w:tcW w:w="2080"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eastAsia="zh-CN"/>
              </w:rPr>
            </w:pPr>
            <w:r>
              <w:rPr>
                <w:rFonts w:hint="eastAsia" w:ascii="宋体" w:cs="Arial"/>
                <w:color w:val="000000"/>
                <w:kern w:val="0"/>
                <w:sz w:val="22"/>
                <w:lang w:val="en-US" w:eastAsia="zh-CN"/>
              </w:rPr>
              <w:t>-</w:t>
            </w:r>
          </w:p>
        </w:tc>
        <w:tc>
          <w:tcPr>
            <w:tcW w:w="2500"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r>
              <w:rPr>
                <w:rFonts w:hint="eastAsia" w:ascii="宋体" w:cs="Arial"/>
                <w:color w:val="000000"/>
                <w:kern w:val="0"/>
                <w:sz w:val="22"/>
                <w:lang w:val="en-US" w:eastAsia="zh-CN"/>
              </w:rPr>
              <w:t>0</w:t>
            </w:r>
          </w:p>
        </w:tc>
      </w:tr>
      <w:tr>
        <w:tblPrEx>
          <w:tblLayout w:type="fixed"/>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（四）其他固定资产</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17</w:t>
            </w:r>
          </w:p>
        </w:tc>
        <w:tc>
          <w:tcPr>
            <w:tcW w:w="208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cs="Arial"/>
                <w:color w:val="000000"/>
                <w:kern w:val="0"/>
                <w:sz w:val="22"/>
              </w:rPr>
              <w:t>271</w:t>
            </w:r>
          </w:p>
        </w:tc>
        <w:tc>
          <w:tcPr>
            <w:tcW w:w="2500"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r>
              <w:rPr>
                <w:rFonts w:ascii="宋体" w:cs="Arial"/>
                <w:color w:val="000000"/>
                <w:kern w:val="0"/>
                <w:sz w:val="22"/>
              </w:rPr>
              <w:t>1695624</w:t>
            </w:r>
          </w:p>
        </w:tc>
      </w:tr>
    </w:tbl>
    <w:p>
      <w:pPr>
        <w:spacing w:line="520" w:lineRule="exact"/>
        <w:jc w:val="center"/>
        <w:rPr>
          <w:rFonts w:ascii="仿宋" w:hAnsi="仿宋" w:eastAsia="仿宋"/>
          <w:sz w:val="32"/>
          <w:szCs w:val="32"/>
        </w:rPr>
      </w:pPr>
    </w:p>
    <w:p>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第八部分：名词解释</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ind w:firstLine="600" w:firstLineChars="200"/>
        <w:rPr>
          <w:rFonts w:ascii="宋体" w:cs="宋体"/>
          <w:sz w:val="30"/>
          <w:szCs w:val="30"/>
        </w:rPr>
      </w:pPr>
    </w:p>
    <w:p>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第九部分：其他需说明的事项</w:t>
      </w:r>
    </w:p>
    <w:p>
      <w:pPr>
        <w:spacing w:line="500" w:lineRule="exact"/>
        <w:jc w:val="left"/>
        <w:outlineLvl w:val="0"/>
        <w:rPr>
          <w:rFonts w:ascii="黑体" w:hAnsi="黑体" w:eastAsia="黑体"/>
          <w:sz w:val="32"/>
          <w:szCs w:val="32"/>
        </w:rPr>
      </w:pPr>
      <w:r>
        <w:rPr>
          <w:rFonts w:hint="eastAsia" w:ascii="仿宋" w:hAnsi="仿宋" w:eastAsia="仿宋"/>
          <w:sz w:val="32"/>
          <w:szCs w:val="32"/>
        </w:rPr>
        <w:t>无其他需说明的事项。</w:t>
      </w:r>
    </w:p>
    <w:p>
      <w:pPr>
        <w:ind w:firstLine="600" w:firstLineChars="200"/>
        <w:rPr>
          <w:rFonts w:ascii="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Bookshelf Symbol 7">
    <w:panose1 w:val="05010101010101010101"/>
    <w:charset w:val="00"/>
    <w:family w:val="auto"/>
    <w:pitch w:val="default"/>
    <w:sig w:usb0="00000000" w:usb1="00000000" w:usb2="00000000" w:usb3="00000000" w:csb0="80000000"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楷体_GBK">
    <w:altName w:val="楷体_GB2312"/>
    <w:panose1 w:val="00000000000000000000"/>
    <w:charset w:val="86"/>
    <w:family w:val="script"/>
    <w:pitch w:val="default"/>
    <w:sig w:usb0="00000000" w:usb1="00000000" w:usb2="00000010" w:usb3="00000000" w:csb0="00040000" w:csb1="00000000"/>
  </w:font>
  <w:font w:name="方正小标宋_GBK">
    <w:altName w:val="黑体"/>
    <w:panose1 w:val="03000509000000000000"/>
    <w:charset w:val="86"/>
    <w:family w:val="script"/>
    <w:pitch w:val="default"/>
    <w:sig w:usb0="00000000" w:usb1="00000000" w:usb2="00000010" w:usb3="00000000" w:csb0="00040000" w:csb1="00000000"/>
  </w:font>
  <w:font w:name="方正书宋_GBK">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6F77"/>
    <w:multiLevelType w:val="singleLevel"/>
    <w:tmpl w:val="58576F77"/>
    <w:lvl w:ilvl="0" w:tentative="0">
      <w:start w:val="1"/>
      <w:numFmt w:val="chineseCounting"/>
      <w:suff w:val="nothing"/>
      <w:lvlText w:val="%1、"/>
      <w:lvlJc w:val="left"/>
      <w:rPr>
        <w:rFonts w:cs="Times New Roman"/>
      </w:rPr>
    </w:lvl>
  </w:abstractNum>
  <w:abstractNum w:abstractNumId="1">
    <w:nsid w:val="594A1503"/>
    <w:multiLevelType w:val="singleLevel"/>
    <w:tmpl w:val="594A1503"/>
    <w:lvl w:ilvl="0" w:tentative="0">
      <w:start w:val="2"/>
      <w:numFmt w:val="chineseCounting"/>
      <w:suff w:val="nothing"/>
      <w:lvlText w:val="%1、"/>
      <w:lvlJc w:val="left"/>
      <w:rPr>
        <w:rFonts w:cs="Times New Roman"/>
      </w:rPr>
    </w:lvl>
  </w:abstractNum>
  <w:abstractNum w:abstractNumId="2">
    <w:nsid w:val="5950E0D8"/>
    <w:multiLevelType w:val="singleLevel"/>
    <w:tmpl w:val="5950E0D8"/>
    <w:lvl w:ilvl="0" w:tentative="0">
      <w:start w:val="1"/>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2B7746F"/>
    <w:rsid w:val="00005D6C"/>
    <w:rsid w:val="00072E19"/>
    <w:rsid w:val="000859D3"/>
    <w:rsid w:val="000B00C7"/>
    <w:rsid w:val="000B7961"/>
    <w:rsid w:val="000C088C"/>
    <w:rsid w:val="000D1AA2"/>
    <w:rsid w:val="000D2979"/>
    <w:rsid w:val="000E1D17"/>
    <w:rsid w:val="000E2B00"/>
    <w:rsid w:val="000E39D4"/>
    <w:rsid w:val="000E47F6"/>
    <w:rsid w:val="000E5856"/>
    <w:rsid w:val="000F237A"/>
    <w:rsid w:val="00125C6A"/>
    <w:rsid w:val="0012798A"/>
    <w:rsid w:val="00145043"/>
    <w:rsid w:val="00173C94"/>
    <w:rsid w:val="00184D12"/>
    <w:rsid w:val="001857D0"/>
    <w:rsid w:val="001B171B"/>
    <w:rsid w:val="001C481B"/>
    <w:rsid w:val="001E7818"/>
    <w:rsid w:val="001F732D"/>
    <w:rsid w:val="002124A2"/>
    <w:rsid w:val="00214BEE"/>
    <w:rsid w:val="002247A1"/>
    <w:rsid w:val="00241F97"/>
    <w:rsid w:val="0024274E"/>
    <w:rsid w:val="00245BCE"/>
    <w:rsid w:val="0024655A"/>
    <w:rsid w:val="00272C97"/>
    <w:rsid w:val="0027757D"/>
    <w:rsid w:val="002C381E"/>
    <w:rsid w:val="002D0AD1"/>
    <w:rsid w:val="002E0E2D"/>
    <w:rsid w:val="002E54D5"/>
    <w:rsid w:val="00302B48"/>
    <w:rsid w:val="003078FB"/>
    <w:rsid w:val="00312FA6"/>
    <w:rsid w:val="00322102"/>
    <w:rsid w:val="00326275"/>
    <w:rsid w:val="003466EF"/>
    <w:rsid w:val="00377D43"/>
    <w:rsid w:val="00382489"/>
    <w:rsid w:val="00387D03"/>
    <w:rsid w:val="00392901"/>
    <w:rsid w:val="003A3032"/>
    <w:rsid w:val="003A57B9"/>
    <w:rsid w:val="003B5F96"/>
    <w:rsid w:val="003E6000"/>
    <w:rsid w:val="00413A8C"/>
    <w:rsid w:val="00413AF2"/>
    <w:rsid w:val="0041540E"/>
    <w:rsid w:val="00442A9D"/>
    <w:rsid w:val="00447D8D"/>
    <w:rsid w:val="00452F72"/>
    <w:rsid w:val="00462D8B"/>
    <w:rsid w:val="00463130"/>
    <w:rsid w:val="004835A3"/>
    <w:rsid w:val="004A1083"/>
    <w:rsid w:val="004C78E6"/>
    <w:rsid w:val="004D39F8"/>
    <w:rsid w:val="004D61D8"/>
    <w:rsid w:val="0050362D"/>
    <w:rsid w:val="00503B00"/>
    <w:rsid w:val="00512A37"/>
    <w:rsid w:val="005148B1"/>
    <w:rsid w:val="00515E9A"/>
    <w:rsid w:val="00517F88"/>
    <w:rsid w:val="005460D1"/>
    <w:rsid w:val="00555759"/>
    <w:rsid w:val="00576CD4"/>
    <w:rsid w:val="00582830"/>
    <w:rsid w:val="00587166"/>
    <w:rsid w:val="005A01CD"/>
    <w:rsid w:val="005B4F6A"/>
    <w:rsid w:val="005C0A51"/>
    <w:rsid w:val="005C1D33"/>
    <w:rsid w:val="005D2A78"/>
    <w:rsid w:val="00640171"/>
    <w:rsid w:val="00647F20"/>
    <w:rsid w:val="00673EC1"/>
    <w:rsid w:val="0067562C"/>
    <w:rsid w:val="00683030"/>
    <w:rsid w:val="006916D2"/>
    <w:rsid w:val="006F06EA"/>
    <w:rsid w:val="0070587F"/>
    <w:rsid w:val="0071258A"/>
    <w:rsid w:val="00724EDC"/>
    <w:rsid w:val="007379A7"/>
    <w:rsid w:val="00752241"/>
    <w:rsid w:val="0075234A"/>
    <w:rsid w:val="00755DE4"/>
    <w:rsid w:val="00757CE8"/>
    <w:rsid w:val="00781FD2"/>
    <w:rsid w:val="007C7F18"/>
    <w:rsid w:val="007F66E8"/>
    <w:rsid w:val="00800F37"/>
    <w:rsid w:val="00804F93"/>
    <w:rsid w:val="00806370"/>
    <w:rsid w:val="008108B2"/>
    <w:rsid w:val="0081377E"/>
    <w:rsid w:val="00830DA4"/>
    <w:rsid w:val="00842568"/>
    <w:rsid w:val="00842CA8"/>
    <w:rsid w:val="00851E2E"/>
    <w:rsid w:val="0085782E"/>
    <w:rsid w:val="008856A6"/>
    <w:rsid w:val="008A7491"/>
    <w:rsid w:val="008B0E21"/>
    <w:rsid w:val="008B2255"/>
    <w:rsid w:val="008B6EEB"/>
    <w:rsid w:val="008C3BEE"/>
    <w:rsid w:val="008F5CC3"/>
    <w:rsid w:val="00900466"/>
    <w:rsid w:val="009020BC"/>
    <w:rsid w:val="0092081F"/>
    <w:rsid w:val="00927932"/>
    <w:rsid w:val="00946441"/>
    <w:rsid w:val="009468DE"/>
    <w:rsid w:val="00952439"/>
    <w:rsid w:val="009601E0"/>
    <w:rsid w:val="00980466"/>
    <w:rsid w:val="00992351"/>
    <w:rsid w:val="009A1924"/>
    <w:rsid w:val="009A1E05"/>
    <w:rsid w:val="009B66BC"/>
    <w:rsid w:val="009C67D4"/>
    <w:rsid w:val="009E7BCA"/>
    <w:rsid w:val="00A01C66"/>
    <w:rsid w:val="00A10AF9"/>
    <w:rsid w:val="00A13390"/>
    <w:rsid w:val="00A20657"/>
    <w:rsid w:val="00A22EF8"/>
    <w:rsid w:val="00A246F0"/>
    <w:rsid w:val="00A31055"/>
    <w:rsid w:val="00A32D91"/>
    <w:rsid w:val="00A35764"/>
    <w:rsid w:val="00A54960"/>
    <w:rsid w:val="00A60378"/>
    <w:rsid w:val="00A71EA5"/>
    <w:rsid w:val="00AA0505"/>
    <w:rsid w:val="00AA286F"/>
    <w:rsid w:val="00AB2B10"/>
    <w:rsid w:val="00AC53D4"/>
    <w:rsid w:val="00AD2E35"/>
    <w:rsid w:val="00B13E2C"/>
    <w:rsid w:val="00B34AF2"/>
    <w:rsid w:val="00B55C6F"/>
    <w:rsid w:val="00B8753C"/>
    <w:rsid w:val="00B91C41"/>
    <w:rsid w:val="00B938B7"/>
    <w:rsid w:val="00BA2AAB"/>
    <w:rsid w:val="00BA3890"/>
    <w:rsid w:val="00BB4620"/>
    <w:rsid w:val="00BB5A04"/>
    <w:rsid w:val="00BD0C54"/>
    <w:rsid w:val="00BD4ED5"/>
    <w:rsid w:val="00BD5D84"/>
    <w:rsid w:val="00BF36C3"/>
    <w:rsid w:val="00C302A4"/>
    <w:rsid w:val="00C3154C"/>
    <w:rsid w:val="00C445A1"/>
    <w:rsid w:val="00C54452"/>
    <w:rsid w:val="00C93A6E"/>
    <w:rsid w:val="00CB769C"/>
    <w:rsid w:val="00CC7F6A"/>
    <w:rsid w:val="00D120D3"/>
    <w:rsid w:val="00D12845"/>
    <w:rsid w:val="00D12B1D"/>
    <w:rsid w:val="00D15F4C"/>
    <w:rsid w:val="00D20D51"/>
    <w:rsid w:val="00D46D0B"/>
    <w:rsid w:val="00D47CB5"/>
    <w:rsid w:val="00D54BE6"/>
    <w:rsid w:val="00D7466D"/>
    <w:rsid w:val="00D86458"/>
    <w:rsid w:val="00D93386"/>
    <w:rsid w:val="00DB77AD"/>
    <w:rsid w:val="00DC1C4D"/>
    <w:rsid w:val="00DC48F9"/>
    <w:rsid w:val="00DF2826"/>
    <w:rsid w:val="00DF7E22"/>
    <w:rsid w:val="00E33085"/>
    <w:rsid w:val="00E340BC"/>
    <w:rsid w:val="00E7410B"/>
    <w:rsid w:val="00E77BBA"/>
    <w:rsid w:val="00E94107"/>
    <w:rsid w:val="00E97278"/>
    <w:rsid w:val="00EB6FB6"/>
    <w:rsid w:val="00ED30B2"/>
    <w:rsid w:val="00EE5B8D"/>
    <w:rsid w:val="00F15B17"/>
    <w:rsid w:val="00F178DB"/>
    <w:rsid w:val="00F26E75"/>
    <w:rsid w:val="00F34776"/>
    <w:rsid w:val="00F440DB"/>
    <w:rsid w:val="00F46B1E"/>
    <w:rsid w:val="00F64D94"/>
    <w:rsid w:val="00F86E61"/>
    <w:rsid w:val="00F87B39"/>
    <w:rsid w:val="00FB2273"/>
    <w:rsid w:val="00FF66BD"/>
    <w:rsid w:val="014A3C9F"/>
    <w:rsid w:val="02370C4C"/>
    <w:rsid w:val="028B34F0"/>
    <w:rsid w:val="02AA592E"/>
    <w:rsid w:val="033036D2"/>
    <w:rsid w:val="050D4A8A"/>
    <w:rsid w:val="061656E9"/>
    <w:rsid w:val="06DC032F"/>
    <w:rsid w:val="070476E1"/>
    <w:rsid w:val="08F50722"/>
    <w:rsid w:val="0A2515D9"/>
    <w:rsid w:val="0A2630D3"/>
    <w:rsid w:val="0E72565B"/>
    <w:rsid w:val="0FC95E8B"/>
    <w:rsid w:val="10AA30AB"/>
    <w:rsid w:val="11013FA8"/>
    <w:rsid w:val="13194BFD"/>
    <w:rsid w:val="131A29BD"/>
    <w:rsid w:val="181A4B27"/>
    <w:rsid w:val="1B765D87"/>
    <w:rsid w:val="1BEB4A28"/>
    <w:rsid w:val="1E3071CD"/>
    <w:rsid w:val="207F574E"/>
    <w:rsid w:val="221D3230"/>
    <w:rsid w:val="23126041"/>
    <w:rsid w:val="242A0986"/>
    <w:rsid w:val="243C04D3"/>
    <w:rsid w:val="24C35B21"/>
    <w:rsid w:val="276907BD"/>
    <w:rsid w:val="29CA3274"/>
    <w:rsid w:val="2ACF2B7A"/>
    <w:rsid w:val="2B21606E"/>
    <w:rsid w:val="2F55740A"/>
    <w:rsid w:val="301A6615"/>
    <w:rsid w:val="30B1110E"/>
    <w:rsid w:val="33334406"/>
    <w:rsid w:val="36902C3B"/>
    <w:rsid w:val="36D93353"/>
    <w:rsid w:val="3815260B"/>
    <w:rsid w:val="38BF3CA4"/>
    <w:rsid w:val="39D422DD"/>
    <w:rsid w:val="3E277EDB"/>
    <w:rsid w:val="40776909"/>
    <w:rsid w:val="413E23FD"/>
    <w:rsid w:val="43366476"/>
    <w:rsid w:val="438A1434"/>
    <w:rsid w:val="4529281B"/>
    <w:rsid w:val="48A37F31"/>
    <w:rsid w:val="49303BA7"/>
    <w:rsid w:val="4AFC69F6"/>
    <w:rsid w:val="4B6D4BE2"/>
    <w:rsid w:val="547867E4"/>
    <w:rsid w:val="55D35838"/>
    <w:rsid w:val="585A6483"/>
    <w:rsid w:val="5DE25ED7"/>
    <w:rsid w:val="5EEB36FB"/>
    <w:rsid w:val="61263823"/>
    <w:rsid w:val="62B7746F"/>
    <w:rsid w:val="66B442C8"/>
    <w:rsid w:val="67E56E3C"/>
    <w:rsid w:val="69EE25FC"/>
    <w:rsid w:val="6A2615C1"/>
    <w:rsid w:val="6C4B1C5D"/>
    <w:rsid w:val="70831D90"/>
    <w:rsid w:val="724D78FF"/>
    <w:rsid w:val="73C74ADE"/>
    <w:rsid w:val="74AE5ED8"/>
    <w:rsid w:val="758B1E9C"/>
    <w:rsid w:val="77340848"/>
    <w:rsid w:val="79CF325D"/>
    <w:rsid w:val="79F6213F"/>
    <w:rsid w:val="7A8F4864"/>
    <w:rsid w:val="7AEC10E0"/>
    <w:rsid w:val="7B7878D4"/>
    <w:rsid w:val="7D226818"/>
    <w:rsid w:val="7E3F6D7C"/>
    <w:rsid w:val="7F947061"/>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7">
    <w:name w:val="Footer Char"/>
    <w:basedOn w:val="5"/>
    <w:link w:val="2"/>
    <w:qFormat/>
    <w:locked/>
    <w:uiPriority w:val="99"/>
    <w:rPr>
      <w:rFonts w:cs="Times New Roman"/>
      <w:kern w:val="2"/>
      <w:sz w:val="18"/>
      <w:szCs w:val="18"/>
    </w:rPr>
  </w:style>
  <w:style w:type="character" w:customStyle="1" w:styleId="8">
    <w:name w:val="Header Char"/>
    <w:basedOn w:val="5"/>
    <w:link w:val="3"/>
    <w:qFormat/>
    <w:locked/>
    <w:uiPriority w:val="99"/>
    <w:rPr>
      <w:rFonts w:cs="Times New Roman"/>
      <w:kern w:val="2"/>
      <w:sz w:val="18"/>
      <w:szCs w:val="18"/>
    </w:rPr>
  </w:style>
  <w:style w:type="character" w:customStyle="1" w:styleId="9">
    <w:name w:val="apple-converted-space"/>
    <w:basedOn w:val="5"/>
    <w:qFormat/>
    <w:uiPriority w:val="99"/>
    <w:rPr>
      <w:rFonts w:cs="Times New Roman"/>
    </w:rPr>
  </w:style>
  <w:style w:type="paragraph" w:customStyle="1" w:styleId="10">
    <w:name w:val="List Paragraph1"/>
    <w:basedOn w:val="1"/>
    <w:qFormat/>
    <w:uiPriority w:val="99"/>
    <w:pPr>
      <w:ind w:firstLine="420" w:firstLineChars="200"/>
    </w:pPr>
  </w:style>
  <w:style w:type="character" w:customStyle="1" w:styleId="11">
    <w:name w:val="fontstyle11"/>
    <w:basedOn w:val="5"/>
    <w:qFormat/>
    <w:uiPriority w:val="99"/>
    <w:rPr>
      <w:rFonts w:ascii="仿宋" w:hAnsi="仿宋" w:eastAsia="仿宋" w:cs="仿宋"/>
      <w:color w:val="000000"/>
      <w:sz w:val="32"/>
      <w:szCs w:val="32"/>
    </w:rPr>
  </w:style>
  <w:style w:type="character" w:customStyle="1" w:styleId="12">
    <w:name w:val="fontstyle41"/>
    <w:basedOn w:val="5"/>
    <w:uiPriority w:val="99"/>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10</Pages>
  <Words>879</Words>
  <Characters>5013</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2017-04-05T02:03:00Z</dcterms:created>
  <dc:creator>Administrator</dc:creator>
  <cp:lastModifiedBy>Administrator</cp:lastModifiedBy>
  <cp:lastPrinted>2017-04-25T08:49:00Z</cp:lastPrinted>
  <dcterms:modified xsi:type="dcterms:W3CDTF">2017-07-05T08:15:44Z</dcterms:modified>
  <dc:title>清苑区环境保护局</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